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4BB53">
      <w:pPr>
        <w:jc w:val="center"/>
        <w:rPr>
          <w:rFonts w:hint="eastAsia" w:ascii="方正小标宋简体" w:hAnsi="方正小标宋简体" w:eastAsia="方正小标宋简体" w:cs="宋体"/>
          <w:color w:val="auto"/>
          <w:sz w:val="72"/>
          <w:szCs w:val="44"/>
          <w:lang w:eastAsia="zh-CN"/>
        </w:rPr>
      </w:pPr>
      <w:r>
        <w:rPr>
          <w:rFonts w:hint="eastAsia" w:ascii="方正小标宋简体" w:hAnsi="方正小标宋简体" w:eastAsia="方正小标宋简体" w:cs="宋体"/>
          <w:color w:val="auto"/>
          <w:sz w:val="72"/>
          <w:szCs w:val="44"/>
          <w:lang w:eastAsia="zh-CN"/>
        </w:rPr>
        <w:t>郁南县妇幼保健院</w:t>
      </w:r>
    </w:p>
    <w:p w14:paraId="11F5821E">
      <w:pPr>
        <w:jc w:val="center"/>
        <w:rPr>
          <w:rFonts w:ascii="方正小标宋简体" w:hAnsi="方正小标宋简体" w:eastAsia="方正小标宋简体" w:cs="宋体"/>
          <w:color w:val="auto"/>
          <w:sz w:val="72"/>
          <w:szCs w:val="44"/>
        </w:rPr>
      </w:pPr>
      <w:r>
        <w:rPr>
          <w:rFonts w:hint="eastAsia" w:ascii="方正小标宋简体" w:hAnsi="方正小标宋简体" w:eastAsia="方正小标宋简体" w:cs="宋体"/>
          <w:color w:val="auto"/>
          <w:sz w:val="72"/>
          <w:szCs w:val="44"/>
        </w:rPr>
        <w:t>采 购 需 求</w:t>
      </w:r>
    </w:p>
    <w:p w14:paraId="7BE4DC60">
      <w:pPr>
        <w:jc w:val="center"/>
        <w:rPr>
          <w:rFonts w:ascii="方正小标宋简体" w:hAnsi="方正小标宋简体" w:eastAsia="方正小标宋简体"/>
          <w:color w:val="auto"/>
          <w:sz w:val="44"/>
          <w:szCs w:val="44"/>
        </w:rPr>
      </w:pPr>
    </w:p>
    <w:p w14:paraId="3B630EE5">
      <w:pPr>
        <w:ind w:firstLine="1440" w:firstLineChars="450"/>
        <w:rPr>
          <w:rFonts w:ascii="方正小标宋简体" w:hAnsi="方正小标宋简体" w:eastAsia="方正小标宋简体"/>
          <w:color w:val="auto"/>
          <w:sz w:val="32"/>
          <w:szCs w:val="32"/>
          <w:u w:val="single"/>
        </w:rPr>
      </w:pPr>
      <w:r>
        <w:rPr>
          <w:rFonts w:ascii="方正小标宋简体" w:hAnsi="方正小标宋简体" w:eastAsia="方正小标宋简体"/>
          <w:color w:val="auto"/>
          <w:sz w:val="32"/>
          <w:szCs w:val="32"/>
        </w:rPr>
        <w:t>项目名称</w:t>
      </w:r>
      <w:r>
        <w:rPr>
          <w:rFonts w:hint="eastAsia" w:ascii="方正小标宋简体" w:hAnsi="方正小标宋简体" w:eastAsia="方正小标宋简体"/>
          <w:color w:val="auto"/>
          <w:sz w:val="32"/>
          <w:szCs w:val="32"/>
        </w:rPr>
        <w:t>：</w:t>
      </w:r>
      <w:r>
        <w:rPr>
          <w:rFonts w:hint="eastAsia" w:ascii="方正小标宋简体" w:hAnsi="方正小标宋简体" w:eastAsia="方正小标宋简体"/>
          <w:color w:val="auto"/>
          <w:sz w:val="32"/>
          <w:szCs w:val="32"/>
          <w:u w:val="single"/>
        </w:rPr>
        <w:t>饭堂食材采购及配送</w:t>
      </w:r>
    </w:p>
    <w:p w14:paraId="21EDDF5A">
      <w:pPr>
        <w:ind w:firstLine="1440" w:firstLineChars="450"/>
        <w:rPr>
          <w:rFonts w:hint="eastAsia" w:ascii="方正小标宋简体" w:hAnsi="方正小标宋简体" w:eastAsia="方正小标宋简体"/>
          <w:color w:val="auto"/>
          <w:sz w:val="32"/>
          <w:szCs w:val="32"/>
          <w:u w:val="single"/>
        </w:rPr>
      </w:pPr>
      <w:r>
        <w:rPr>
          <w:rFonts w:hint="eastAsia" w:ascii="方正小标宋简体" w:hAnsi="方正小标宋简体" w:eastAsia="方正小标宋简体"/>
          <w:color w:val="auto"/>
          <w:sz w:val="32"/>
          <w:szCs w:val="32"/>
        </w:rPr>
        <w:t>采购单位：</w:t>
      </w:r>
      <w:r>
        <w:rPr>
          <w:rFonts w:hint="eastAsia" w:ascii="方正小标宋简体" w:hAnsi="方正小标宋简体" w:eastAsia="方正小标宋简体"/>
          <w:color w:val="auto"/>
          <w:sz w:val="32"/>
          <w:szCs w:val="32"/>
          <w:u w:val="single"/>
        </w:rPr>
        <w:t>郁南县妇幼保健院</w:t>
      </w:r>
    </w:p>
    <w:p w14:paraId="3CE2744E">
      <w:pPr>
        <w:rPr>
          <w:rFonts w:ascii="方正小标宋简体" w:hAnsi="方正小标宋简体" w:eastAsia="方正小标宋简体"/>
          <w:color w:val="auto"/>
          <w:sz w:val="44"/>
          <w:szCs w:val="44"/>
        </w:rPr>
      </w:pPr>
    </w:p>
    <w:p w14:paraId="78E329B9">
      <w:pPr>
        <w:rPr>
          <w:rFonts w:ascii="方正小标宋简体" w:hAnsi="方正小标宋简体" w:eastAsia="方正小标宋简体"/>
          <w:color w:val="auto"/>
          <w:sz w:val="44"/>
          <w:szCs w:val="44"/>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14:paraId="03AB907F">
      <w:pPr>
        <w:numPr>
          <w:ilvl w:val="0"/>
          <w:numId w:val="1"/>
        </w:num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供应商资格条件</w:t>
      </w:r>
    </w:p>
    <w:p w14:paraId="3C07F906">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满足《中华人民共和国政府</w:t>
      </w:r>
      <w:r>
        <w:rPr>
          <w:rFonts w:hint="eastAsia" w:ascii="宋体" w:hAnsi="宋体" w:cs="宋体"/>
          <w:color w:val="auto"/>
          <w:shd w:val="clear" w:color="auto" w:fill="FFFFFF"/>
          <w:lang w:eastAsia="zh-CN"/>
        </w:rPr>
        <w:t>采</w:t>
      </w:r>
      <w:r>
        <w:rPr>
          <w:rFonts w:hint="eastAsia" w:ascii="宋体" w:hAnsi="宋体" w:cs="宋体"/>
          <w:color w:val="auto"/>
          <w:shd w:val="clear" w:color="auto" w:fill="FFFFFF"/>
        </w:rPr>
        <w:t>购法》第二十二条规定，提供下列材料：</w:t>
      </w:r>
    </w:p>
    <w:p w14:paraId="1FABB79D">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）供应商必须是具有独立承担民事责任能力的在中华人民共和国境内注册的法人或其他组织或自然人，投标时提交有效的营业执照（或事业法人登记证或身份证等相关证明）副本复印件。</w:t>
      </w:r>
    </w:p>
    <w:p w14:paraId="6E4DB7E7">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）供应商必须具有良好的商业信誉和健全的财务会计制度。</w:t>
      </w:r>
    </w:p>
    <w:p w14:paraId="0CC6C848">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3</w:t>
      </w:r>
      <w:r>
        <w:rPr>
          <w:rFonts w:hint="eastAsia" w:ascii="宋体" w:hAnsi="宋体" w:cs="宋体"/>
          <w:color w:val="auto"/>
          <w:shd w:val="clear" w:color="auto" w:fill="FFFFFF"/>
        </w:rPr>
        <w:t>）具备履行合同所必需的专业技术能力（按投标（响应）文件格式填报专业技术能力情况）。</w:t>
      </w:r>
    </w:p>
    <w:p w14:paraId="5AFF5912">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4</w:t>
      </w:r>
      <w:r>
        <w:rPr>
          <w:rFonts w:hint="eastAsia" w:ascii="宋体" w:hAnsi="宋体" w:cs="宋体"/>
          <w:color w:val="auto"/>
          <w:shd w:val="clear" w:color="auto" w:fill="FFFFFF"/>
        </w:rPr>
        <w:t>）有依法缴纳税收和社会保障资金的良好记录。</w:t>
      </w:r>
    </w:p>
    <w:p w14:paraId="5C2CC28A">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5</w:t>
      </w:r>
      <w:r>
        <w:rPr>
          <w:rFonts w:hint="eastAsia" w:ascii="宋体" w:hAnsi="宋体" w:cs="宋体"/>
          <w:color w:val="auto"/>
          <w:shd w:val="clear" w:color="auto" w:fill="FFFFFF"/>
        </w:rPr>
        <w:t>）供应商参加政府采购活动前三年内，在经营活动中没有重大违法记录（可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14:paraId="583D7CFA">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6</w:t>
      </w:r>
      <w:r>
        <w:rPr>
          <w:rFonts w:hint="eastAsia" w:ascii="宋体" w:hAnsi="宋体" w:cs="宋体"/>
          <w:color w:val="auto"/>
          <w:shd w:val="clear" w:color="auto" w:fill="FFFFFF"/>
        </w:rPr>
        <w:t>）供应商必须符合法律、行政法规规定的其他条件（单位负责人为同一人或者存在直接控股、管理关系的不同供应商，不得同时参加本采购项目投标。</w:t>
      </w:r>
      <w:r>
        <w:rPr>
          <w:rFonts w:ascii="宋体" w:hAnsi="宋体" w:cs="宋体"/>
          <w:color w:val="auto"/>
          <w:shd w:val="clear" w:color="auto" w:fill="FFFFFF"/>
        </w:rPr>
        <w:t xml:space="preserve"> </w:t>
      </w:r>
      <w:r>
        <w:rPr>
          <w:rFonts w:hint="eastAsia" w:ascii="宋体" w:hAnsi="宋体" w:cs="宋体"/>
          <w:color w:val="auto"/>
          <w:shd w:val="clear" w:color="auto" w:fill="FFFFFF"/>
        </w:rPr>
        <w:t>为本项目提供检测等服务的供应商，不得再参与本项目投标。</w:t>
      </w:r>
      <w:r>
        <w:rPr>
          <w:rFonts w:ascii="宋体" w:hAnsi="宋体" w:cs="宋体"/>
          <w:color w:val="auto"/>
          <w:shd w:val="clear" w:color="auto" w:fill="FFFFFF"/>
        </w:rPr>
        <w:t xml:space="preserve"> </w:t>
      </w:r>
      <w:r>
        <w:rPr>
          <w:rFonts w:hint="eastAsia" w:ascii="宋体" w:hAnsi="宋体" w:cs="宋体"/>
          <w:color w:val="auto"/>
          <w:shd w:val="clear" w:color="auto" w:fill="FFFFFF"/>
        </w:rPr>
        <w:t>供应商可参考投标（报价）函相关承诺要求内容。）。</w:t>
      </w:r>
    </w:p>
    <w:p w14:paraId="5EF0AB14">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供应商未被列入“信用中国”网站</w:t>
      </w:r>
      <w:r>
        <w:rPr>
          <w:rFonts w:ascii="宋体" w:hAnsi="宋体" w:cs="宋体"/>
          <w:color w:val="auto"/>
          <w:shd w:val="clear" w:color="auto" w:fill="FFFFFF"/>
        </w:rPr>
        <w:t>(www.creditchina.gov.cn)</w:t>
      </w:r>
      <w:r>
        <w:rPr>
          <w:rFonts w:hint="eastAsia" w:ascii="宋体" w:hAnsi="宋体" w:cs="宋体"/>
          <w:color w:val="auto"/>
          <w:shd w:val="clear" w:color="auto" w:fill="FFFFFF"/>
        </w:rPr>
        <w:t>“记录失信被执行人或重大税收违法案件当事人名单或政府采购严重违法失信行为”记录名单；不处于中国政府采购网</w:t>
      </w:r>
      <w:r>
        <w:rPr>
          <w:rFonts w:ascii="宋体" w:hAnsi="宋体" w:cs="宋体"/>
          <w:color w:val="auto"/>
          <w:shd w:val="clear" w:color="auto" w:fill="FFFFFF"/>
        </w:rPr>
        <w:t>(www.ccgp.gov.cn)</w:t>
      </w:r>
      <w:r>
        <w:rPr>
          <w:rFonts w:hint="eastAsia" w:ascii="宋体" w:hAnsi="宋体" w:cs="宋体"/>
          <w:color w:val="auto"/>
          <w:shd w:val="clear" w:color="auto" w:fill="FFFFFF"/>
        </w:rPr>
        <w:t>“政府采购严重违法失信行为信息记录”中的禁止参加政府采购活动期间。（以采购代理机构于评审当天在“信用中国”网站（</w:t>
      </w:r>
      <w:r>
        <w:rPr>
          <w:rFonts w:ascii="宋体" w:hAnsi="宋体" w:cs="宋体"/>
          <w:color w:val="auto"/>
          <w:shd w:val="clear" w:color="auto" w:fill="FFFFFF"/>
        </w:rPr>
        <w:t>www.creditchina.gov.cn</w:t>
      </w:r>
      <w:r>
        <w:rPr>
          <w:rFonts w:hint="eastAsia" w:ascii="宋体" w:hAnsi="宋体" w:cs="宋体"/>
          <w:color w:val="auto"/>
          <w:shd w:val="clear" w:color="auto" w:fill="FFFFFF"/>
        </w:rPr>
        <w:t>）及中国政府采购网（</w:t>
      </w:r>
      <w:r>
        <w:rPr>
          <w:rFonts w:ascii="宋体" w:hAnsi="宋体" w:cs="宋体"/>
          <w:color w:val="auto"/>
          <w:shd w:val="clear" w:color="auto" w:fill="FFFFFF"/>
        </w:rPr>
        <w:t>http://www.ccgp.gov.cn/</w:t>
      </w:r>
      <w:r>
        <w:rPr>
          <w:rFonts w:hint="eastAsia" w:ascii="宋体" w:hAnsi="宋体" w:cs="宋体"/>
          <w:color w:val="auto"/>
          <w:shd w:val="clear" w:color="auto" w:fill="FFFFFF"/>
        </w:rPr>
        <w:t>）查询结果为准，如相关失信记录已失效，供应商需提供相关证明资料）。</w:t>
      </w:r>
    </w:p>
    <w:p w14:paraId="0D3D5006">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3.</w:t>
      </w:r>
      <w:r>
        <w:rPr>
          <w:rFonts w:hint="eastAsia" w:ascii="宋体" w:hAnsi="宋体" w:cs="宋体"/>
          <w:color w:val="auto"/>
          <w:shd w:val="clear" w:color="auto" w:fill="FFFFFF"/>
        </w:rPr>
        <w:t>落实政府采购政策需满足的资格要求：本项目不属于专门面向中小企业采购的项目，需落实政府采购政策为：促进中小企业发展政策、支持监狱企业发展政策、支持残疾人福利性单位发展政策、采购</w:t>
      </w:r>
      <w:r>
        <w:rPr>
          <w:rFonts w:hint="eastAsia" w:ascii="宋体" w:hAnsi="宋体" w:cs="宋体"/>
          <w:color w:val="auto"/>
          <w:shd w:val="clear" w:color="auto" w:fill="FFFFFF"/>
          <w:lang w:eastAsia="zh-CN"/>
        </w:rPr>
        <w:t>助农</w:t>
      </w:r>
      <w:r>
        <w:rPr>
          <w:rFonts w:hint="eastAsia" w:ascii="宋体" w:hAnsi="宋体" w:cs="宋体"/>
          <w:color w:val="auto"/>
          <w:shd w:val="clear" w:color="auto" w:fill="FFFFFF"/>
        </w:rPr>
        <w:t>产品、</w:t>
      </w:r>
      <w:r>
        <w:rPr>
          <w:rFonts w:hint="eastAsia" w:ascii="宋体" w:hAnsi="宋体" w:cs="宋体"/>
          <w:color w:val="auto"/>
          <w:shd w:val="clear" w:color="auto" w:fill="FFFFFF"/>
          <w:lang w:eastAsia="zh-CN"/>
        </w:rPr>
        <w:t>绿色食品</w:t>
      </w:r>
      <w:r>
        <w:rPr>
          <w:rFonts w:hint="eastAsia" w:ascii="宋体" w:hAnsi="宋体" w:cs="宋体"/>
          <w:color w:val="auto"/>
          <w:shd w:val="clear" w:color="auto" w:fill="FFFFFF"/>
        </w:rPr>
        <w:t>标志产品相关政策等。</w:t>
      </w:r>
    </w:p>
    <w:p w14:paraId="29672DFB">
      <w:pPr>
        <w:pStyle w:val="7"/>
        <w:widowControl/>
        <w:shd w:val="clear" w:color="auto" w:fill="FFFFFF"/>
        <w:spacing w:before="0" w:beforeAutospacing="0" w:after="0" w:afterAutospacing="0" w:line="420" w:lineRule="atLeast"/>
        <w:jc w:val="both"/>
        <w:textAlignment w:val="baseline"/>
        <w:rPr>
          <w:rFonts w:ascii="宋体" w:cs="Times New Roman"/>
          <w:color w:val="auto"/>
        </w:rPr>
      </w:pPr>
      <w:r>
        <w:rPr>
          <w:rFonts w:ascii="宋体" w:hAnsi="宋体" w:cs="宋体"/>
          <w:color w:val="auto"/>
          <w:shd w:val="clear" w:color="auto" w:fill="FFFFFF"/>
        </w:rPr>
        <w:t>4.</w:t>
      </w:r>
      <w:r>
        <w:rPr>
          <w:rFonts w:hint="eastAsia" w:ascii="宋体" w:hAnsi="宋体" w:cs="宋体"/>
          <w:color w:val="auto"/>
          <w:shd w:val="clear" w:color="auto" w:fill="FFFFFF"/>
        </w:rPr>
        <w:t>本项目的特定资格要求：</w:t>
      </w:r>
    </w:p>
    <w:p w14:paraId="7056EA56">
      <w:pPr>
        <w:pStyle w:val="7"/>
        <w:widowControl/>
        <w:spacing w:before="0" w:beforeAutospacing="0" w:after="0" w:afterAutospacing="0" w:line="420" w:lineRule="atLeast"/>
        <w:jc w:val="both"/>
        <w:textAlignment w:val="baseline"/>
        <w:rPr>
          <w:rFonts w:cs="Times New Roman"/>
          <w:color w:val="auto"/>
        </w:rPr>
      </w:pPr>
      <w:r>
        <w:rPr>
          <w:rFonts w:ascii="宋体" w:hAnsi="宋体" w:cs="宋体"/>
          <w:color w:val="auto"/>
          <w:shd w:val="clear" w:color="auto" w:fill="FFFFFF"/>
        </w:rPr>
        <w:t>(1)</w:t>
      </w:r>
      <w:r>
        <w:rPr>
          <w:rFonts w:hint="eastAsia" w:ascii="宋体" w:hAnsi="宋体" w:cs="宋体"/>
          <w:color w:val="auto"/>
          <w:shd w:val="clear" w:color="auto" w:fill="FFFFFF"/>
        </w:rPr>
        <w:t>投标人必须具有有效的《食品经营许可证》或《食品生产许可证》。</w:t>
      </w:r>
    </w:p>
    <w:p w14:paraId="07B9F472">
      <w:pPr>
        <w:pStyle w:val="7"/>
        <w:widowControl/>
        <w:spacing w:before="0" w:beforeAutospacing="0" w:after="0" w:afterAutospacing="0" w:line="420" w:lineRule="atLeast"/>
        <w:jc w:val="both"/>
        <w:textAlignment w:val="baseline"/>
        <w:rPr>
          <w:rFonts w:cs="Times New Roman"/>
          <w:color w:val="auto"/>
        </w:rPr>
      </w:pPr>
      <w:r>
        <w:rPr>
          <w:rFonts w:ascii="宋体" w:hAnsi="宋体" w:cs="宋体"/>
          <w:color w:val="auto"/>
          <w:shd w:val="clear" w:color="auto" w:fill="FFFFFF"/>
        </w:rPr>
        <w:t>(2)</w:t>
      </w:r>
      <w:r>
        <w:rPr>
          <w:rFonts w:hint="eastAsia" w:ascii="宋体" w:hAnsi="宋体" w:cs="宋体"/>
          <w:color w:val="auto"/>
          <w:shd w:val="clear" w:color="auto" w:fill="FFFFFF"/>
        </w:rPr>
        <w:t>本项目不接受联合体投标。</w:t>
      </w:r>
    </w:p>
    <w:p w14:paraId="71B50B14">
      <w:pPr>
        <w:spacing w:line="360" w:lineRule="auto"/>
        <w:jc w:val="center"/>
        <w:rPr>
          <w:rFonts w:ascii="宋体" w:cs="Times New Roman"/>
          <w:b/>
          <w:bCs/>
          <w:snapToGrid w:val="0"/>
          <w:color w:val="auto"/>
          <w:kern w:val="0"/>
          <w:sz w:val="24"/>
          <w:szCs w:val="24"/>
        </w:rPr>
      </w:pPr>
      <w:r>
        <w:rPr>
          <w:rFonts w:ascii="宋体" w:cs="Times New Roman"/>
          <w:b/>
          <w:bCs/>
          <w:snapToGrid w:val="0"/>
          <w:color w:val="auto"/>
          <w:kern w:val="0"/>
          <w:sz w:val="24"/>
          <w:szCs w:val="24"/>
        </w:rPr>
        <w:br w:type="page"/>
      </w:r>
      <w:r>
        <w:rPr>
          <w:rFonts w:hint="eastAsia" w:ascii="宋体" w:hAnsi="宋体" w:cs="宋体"/>
          <w:b/>
          <w:bCs/>
          <w:snapToGrid w:val="0"/>
          <w:color w:val="auto"/>
          <w:kern w:val="0"/>
          <w:sz w:val="24"/>
          <w:szCs w:val="24"/>
        </w:rPr>
        <w:t>二、采购项目技术要求</w:t>
      </w:r>
    </w:p>
    <w:p w14:paraId="3EFB0E46">
      <w:pPr>
        <w:spacing w:line="360" w:lineRule="auto"/>
        <w:rPr>
          <w:rFonts w:ascii="宋体" w:cs="Times New Roman"/>
          <w:snapToGrid w:val="0"/>
          <w:color w:val="auto"/>
          <w:kern w:val="0"/>
          <w:sz w:val="24"/>
          <w:szCs w:val="24"/>
        </w:rPr>
      </w:pPr>
      <w:r>
        <w:rPr>
          <w:rFonts w:hint="eastAsia" w:ascii="宋体" w:hAnsi="宋体" w:cs="宋体"/>
          <w:b/>
          <w:bCs/>
          <w:snapToGrid w:val="0"/>
          <w:color w:val="auto"/>
          <w:kern w:val="0"/>
          <w:sz w:val="24"/>
          <w:szCs w:val="24"/>
        </w:rPr>
        <w:t>采购项目清单：</w:t>
      </w:r>
      <w:r>
        <w:rPr>
          <w:rFonts w:ascii="宋体" w:hAnsi="宋体" w:cs="宋体"/>
          <w:snapToGrid w:val="0"/>
          <w:color w:val="auto"/>
          <w:kern w:val="0"/>
          <w:sz w:val="24"/>
          <w:szCs w:val="24"/>
        </w:rPr>
        <w:t xml:space="preserve"> </w:t>
      </w:r>
    </w:p>
    <w:tbl>
      <w:tblPr>
        <w:tblStyle w:val="8"/>
        <w:tblW w:w="981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2"/>
        <w:gridCol w:w="1340"/>
        <w:gridCol w:w="1340"/>
        <w:gridCol w:w="1750"/>
        <w:gridCol w:w="1994"/>
      </w:tblGrid>
      <w:tr w14:paraId="7E7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3392" w:type="dxa"/>
            <w:shd w:val="clear" w:color="auto" w:fill="C0C0C0"/>
            <w:noWrap w:val="0"/>
            <w:vAlign w:val="center"/>
          </w:tcPr>
          <w:p w14:paraId="67DAAE51">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采购内容</w:t>
            </w:r>
          </w:p>
        </w:tc>
        <w:tc>
          <w:tcPr>
            <w:tcW w:w="1340" w:type="dxa"/>
            <w:shd w:val="clear" w:color="auto" w:fill="C0C0C0"/>
            <w:noWrap w:val="0"/>
            <w:vAlign w:val="center"/>
          </w:tcPr>
          <w:p w14:paraId="787D699E">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数量</w:t>
            </w:r>
          </w:p>
        </w:tc>
        <w:tc>
          <w:tcPr>
            <w:tcW w:w="1340" w:type="dxa"/>
            <w:shd w:val="clear" w:color="auto" w:fill="C0C0C0"/>
            <w:noWrap w:val="0"/>
            <w:vAlign w:val="center"/>
          </w:tcPr>
          <w:p w14:paraId="188CA1F4">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单位</w:t>
            </w:r>
          </w:p>
        </w:tc>
        <w:tc>
          <w:tcPr>
            <w:tcW w:w="1750" w:type="dxa"/>
            <w:shd w:val="clear" w:color="auto" w:fill="C0C0C0"/>
            <w:noWrap w:val="0"/>
            <w:vAlign w:val="center"/>
          </w:tcPr>
          <w:p w14:paraId="39EC3AF5">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是否核心产品</w:t>
            </w:r>
          </w:p>
        </w:tc>
        <w:tc>
          <w:tcPr>
            <w:tcW w:w="1994" w:type="dxa"/>
            <w:shd w:val="clear" w:color="auto" w:fill="C0C0C0"/>
            <w:noWrap w:val="0"/>
            <w:vAlign w:val="center"/>
          </w:tcPr>
          <w:p w14:paraId="66AF491B">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年采购预算（元）</w:t>
            </w:r>
          </w:p>
        </w:tc>
      </w:tr>
      <w:tr w14:paraId="1A9E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392" w:type="dxa"/>
            <w:noWrap w:val="0"/>
            <w:vAlign w:val="center"/>
          </w:tcPr>
          <w:p w14:paraId="23B6FDAA">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饭堂食材采购及配送服务</w:t>
            </w:r>
          </w:p>
        </w:tc>
        <w:tc>
          <w:tcPr>
            <w:tcW w:w="1340" w:type="dxa"/>
            <w:noWrap w:val="0"/>
            <w:vAlign w:val="center"/>
          </w:tcPr>
          <w:p w14:paraId="1E693F1F">
            <w:pPr>
              <w:spacing w:line="360" w:lineRule="auto"/>
              <w:jc w:val="center"/>
              <w:rPr>
                <w:rFonts w:ascii="宋体" w:cs="Times New Roman"/>
                <w:snapToGrid w:val="0"/>
                <w:color w:val="auto"/>
                <w:kern w:val="0"/>
                <w:sz w:val="24"/>
                <w:szCs w:val="24"/>
              </w:rPr>
            </w:pPr>
            <w:r>
              <w:rPr>
                <w:rFonts w:ascii="宋体" w:hAnsi="宋体" w:cs="宋体"/>
                <w:snapToGrid w:val="0"/>
                <w:color w:val="auto"/>
                <w:kern w:val="0"/>
                <w:sz w:val="24"/>
                <w:szCs w:val="24"/>
              </w:rPr>
              <w:t>1</w:t>
            </w:r>
          </w:p>
        </w:tc>
        <w:tc>
          <w:tcPr>
            <w:tcW w:w="1340" w:type="dxa"/>
            <w:noWrap w:val="0"/>
            <w:vAlign w:val="center"/>
          </w:tcPr>
          <w:p w14:paraId="3828B589">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项</w:t>
            </w:r>
          </w:p>
        </w:tc>
        <w:tc>
          <w:tcPr>
            <w:tcW w:w="1750" w:type="dxa"/>
            <w:noWrap w:val="0"/>
            <w:vAlign w:val="center"/>
          </w:tcPr>
          <w:p w14:paraId="3BB8A94B">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是</w:t>
            </w:r>
          </w:p>
        </w:tc>
        <w:tc>
          <w:tcPr>
            <w:tcW w:w="1994" w:type="dxa"/>
            <w:noWrap w:val="0"/>
            <w:vAlign w:val="center"/>
          </w:tcPr>
          <w:p w14:paraId="451F51B6">
            <w:pPr>
              <w:spacing w:line="360" w:lineRule="auto"/>
              <w:jc w:val="center"/>
              <w:rPr>
                <w:rFonts w:ascii="宋体" w:cs="Times New Roman"/>
                <w:snapToGrid w:val="0"/>
                <w:color w:val="auto"/>
                <w:kern w:val="0"/>
                <w:sz w:val="24"/>
                <w:szCs w:val="24"/>
              </w:rPr>
            </w:pPr>
            <w:r>
              <w:rPr>
                <w:rFonts w:hint="eastAsia" w:ascii="宋体" w:hAnsi="宋体" w:cs="宋体"/>
                <w:snapToGrid w:val="0"/>
                <w:color w:val="auto"/>
                <w:kern w:val="0"/>
                <w:sz w:val="24"/>
                <w:szCs w:val="24"/>
              </w:rPr>
              <w:t>￥</w:t>
            </w:r>
            <w:r>
              <w:rPr>
                <w:rFonts w:hint="eastAsia" w:ascii="宋体" w:hAnsi="宋体" w:cs="宋体"/>
                <w:snapToGrid w:val="0"/>
                <w:color w:val="auto"/>
                <w:kern w:val="0"/>
                <w:sz w:val="24"/>
                <w:szCs w:val="24"/>
                <w:lang w:val="en-US" w:eastAsia="zh-CN"/>
              </w:rPr>
              <w:t>25</w:t>
            </w:r>
            <w:r>
              <w:rPr>
                <w:rFonts w:hint="eastAsia" w:ascii="宋体" w:hAnsi="宋体" w:cs="宋体"/>
                <w:snapToGrid w:val="0"/>
                <w:color w:val="auto"/>
                <w:kern w:val="0"/>
                <w:sz w:val="24"/>
                <w:szCs w:val="24"/>
              </w:rPr>
              <w:t>0000.00</w:t>
            </w:r>
          </w:p>
        </w:tc>
      </w:tr>
    </w:tbl>
    <w:p w14:paraId="27CC421D">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项目内容</w:t>
      </w:r>
    </w:p>
    <w:p w14:paraId="5DBFF7C6">
      <w:pPr>
        <w:spacing w:line="360" w:lineRule="auto"/>
        <w:ind w:left="-372" w:leftChars="-177"/>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中标供应商配备专人专车按时按量向采购人饭堂配送早、午、晚三餐所需全部食材，包括但不限于农副产品、副食品、粮油等配送服务。</w:t>
      </w:r>
    </w:p>
    <w:p w14:paraId="16520B94">
      <w:pPr>
        <w:spacing w:line="360" w:lineRule="auto"/>
        <w:ind w:left="-372" w:leftChars="-177"/>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农副产品包括农业生产所带来的副产品，包括农、林、牧、副、渔五业产品，分为粮食、经济作物、禽畜产品、干鲜果、干鲜菜及调味品、药材、土副产品、水产品等若干大类。</w:t>
      </w:r>
    </w:p>
    <w:p w14:paraId="5F3B0FDF">
      <w:pPr>
        <w:spacing w:line="360" w:lineRule="auto"/>
        <w:ind w:left="-372" w:leftChars="-177"/>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副食品是指一般是经过精加工的食品，包括罐头、非酒精类饮料（不含饮用水）、小食品、果品等。</w:t>
      </w:r>
    </w:p>
    <w:p w14:paraId="7A3894BB">
      <w:pPr>
        <w:spacing w:line="360" w:lineRule="auto"/>
        <w:ind w:left="-372" w:leftChars="-177"/>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粮油包括原粮分为谷类、麦类、杂粮类和豆类。包括：稻谷、小麦、玉米、高粱、谷子、大麦、荞麦、大豆、小豆、绿豆、蚕豆、芸豆、甘薯等等。</w:t>
      </w:r>
    </w:p>
    <w:p w14:paraId="53E06CE2">
      <w:pPr>
        <w:spacing w:line="360" w:lineRule="auto"/>
        <w:ind w:left="-496" w:leftChars="-236"/>
        <w:rPr>
          <w:rFonts w:ascii="宋体" w:cs="Times New Roman"/>
          <w:color w:val="auto"/>
          <w:sz w:val="24"/>
          <w:szCs w:val="24"/>
        </w:rPr>
      </w:pPr>
      <w:r>
        <w:rPr>
          <w:rFonts w:ascii="宋体" w:hAnsi="宋体" w:cs="宋体"/>
          <w:color w:val="auto"/>
          <w:sz w:val="24"/>
          <w:szCs w:val="24"/>
        </w:rPr>
        <w:t>4.1.</w:t>
      </w:r>
      <w:r>
        <w:rPr>
          <w:rFonts w:hint="eastAsia" w:ascii="宋体" w:hAnsi="宋体" w:cs="宋体"/>
          <w:color w:val="auto"/>
          <w:sz w:val="24"/>
          <w:szCs w:val="24"/>
        </w:rPr>
        <w:t>成品粮包括：大米、小麦粉，小米、油菜籽、</w:t>
      </w:r>
      <w:r>
        <w:rPr>
          <w:rFonts w:ascii="宋体" w:hAnsi="宋体" w:cs="宋体"/>
          <w:color w:val="auto"/>
          <w:sz w:val="24"/>
          <w:szCs w:val="24"/>
        </w:rPr>
        <w:t xml:space="preserve"> </w:t>
      </w:r>
      <w:r>
        <w:rPr>
          <w:rFonts w:hint="eastAsia" w:ascii="宋体" w:hAnsi="宋体" w:cs="宋体"/>
          <w:color w:val="auto"/>
          <w:sz w:val="24"/>
          <w:szCs w:val="24"/>
        </w:rPr>
        <w:t>白芝麻、黑芝麻、棉籽、葵花籽、香瓜籽、油茶籽、棕榈籽等。</w:t>
      </w:r>
    </w:p>
    <w:p w14:paraId="77F0BCA8">
      <w:pPr>
        <w:spacing w:line="360" w:lineRule="auto"/>
        <w:ind w:left="-496" w:leftChars="-236"/>
        <w:rPr>
          <w:rFonts w:ascii="宋体" w:cs="Times New Roman"/>
          <w:color w:val="auto"/>
          <w:sz w:val="24"/>
          <w:szCs w:val="24"/>
        </w:rPr>
      </w:pPr>
      <w:r>
        <w:rPr>
          <w:rFonts w:ascii="宋体" w:hAnsi="宋体" w:cs="宋体"/>
          <w:color w:val="auto"/>
          <w:sz w:val="24"/>
          <w:szCs w:val="24"/>
        </w:rPr>
        <w:t>4.2.</w:t>
      </w:r>
      <w:r>
        <w:rPr>
          <w:rFonts w:hint="eastAsia" w:ascii="宋体" w:hAnsi="宋体" w:cs="宋体"/>
          <w:color w:val="auto"/>
          <w:sz w:val="24"/>
          <w:szCs w:val="24"/>
        </w:rPr>
        <w:t>油脂包括：花生油、菜油、香油、葵花籽油、蓖麻籽油、大豆油、玉米胚油、棕榈油、橄榄油，色拉油、调和油，调味油，起酥油等。</w:t>
      </w:r>
    </w:p>
    <w:p w14:paraId="54EC37FE">
      <w:pPr>
        <w:spacing w:line="360" w:lineRule="auto"/>
        <w:ind w:left="-496" w:leftChars="-236"/>
        <w:rPr>
          <w:rFonts w:ascii="宋体" w:cs="Times New Roman"/>
          <w:color w:val="auto"/>
          <w:sz w:val="24"/>
          <w:szCs w:val="24"/>
        </w:rPr>
      </w:pPr>
      <w:r>
        <w:rPr>
          <w:rFonts w:ascii="宋体" w:hAnsi="宋体" w:cs="宋体"/>
          <w:color w:val="auto"/>
          <w:sz w:val="24"/>
          <w:szCs w:val="24"/>
        </w:rPr>
        <w:t>4.3.</w:t>
      </w:r>
      <w:r>
        <w:rPr>
          <w:rFonts w:hint="eastAsia" w:ascii="宋体" w:hAnsi="宋体" w:cs="宋体"/>
          <w:color w:val="auto"/>
          <w:sz w:val="24"/>
          <w:szCs w:val="24"/>
        </w:rPr>
        <w:t>粮油制品包括：杂面茶、挂面、龙须面，荞麦挂面，通心面，凉面，面饼，方便面，米粉、烧饼、面筋、可可粉、色拉调料、芝麻酱、花生酱等。</w:t>
      </w:r>
    </w:p>
    <w:p w14:paraId="75A469AF">
      <w:pPr>
        <w:spacing w:line="360" w:lineRule="auto"/>
        <w:ind w:left="-496" w:leftChars="-236"/>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rPr>
        <w:t>所供应的蔬菜瓜果类食品必须有政府职能部门或政府职能部门授权的检测中心提供的农药检测证明，且量足价平，并提供有完善的售后服务。</w:t>
      </w:r>
    </w:p>
    <w:p w14:paraId="4ADD47E1">
      <w:pPr>
        <w:spacing w:line="360" w:lineRule="auto"/>
        <w:ind w:left="-496" w:leftChars="-236"/>
        <w:rPr>
          <w:rFonts w:ascii="宋体" w:cs="Times New Roman"/>
          <w:color w:val="auto"/>
          <w:sz w:val="24"/>
          <w:szCs w:val="24"/>
        </w:rPr>
      </w:pPr>
      <w:r>
        <w:rPr>
          <w:rFonts w:ascii="宋体" w:hAnsi="宋体" w:cs="宋体"/>
          <w:color w:val="auto"/>
          <w:sz w:val="24"/>
          <w:szCs w:val="24"/>
        </w:rPr>
        <w:t>6.</w:t>
      </w:r>
      <w:r>
        <w:rPr>
          <w:rFonts w:hint="eastAsia" w:ascii="宋体" w:hAnsi="宋体" w:cs="宋体"/>
          <w:color w:val="auto"/>
          <w:sz w:val="24"/>
          <w:szCs w:val="24"/>
        </w:rPr>
        <w:t>内容：</w:t>
      </w:r>
    </w:p>
    <w:tbl>
      <w:tblPr>
        <w:tblStyle w:val="8"/>
        <w:tblW w:w="940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948"/>
        <w:gridCol w:w="7377"/>
      </w:tblGrid>
      <w:tr w14:paraId="20D1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gridSpan w:val="2"/>
            <w:noWrap w:val="0"/>
            <w:vAlign w:val="center"/>
          </w:tcPr>
          <w:p w14:paraId="099A1C1E">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7377" w:type="dxa"/>
            <w:noWrap w:val="0"/>
            <w:vAlign w:val="center"/>
          </w:tcPr>
          <w:p w14:paraId="69003F9B">
            <w:pPr>
              <w:jc w:val="center"/>
              <w:rPr>
                <w:rFonts w:ascii="宋体" w:cs="Times New Roman"/>
                <w:b/>
                <w:bCs/>
                <w:color w:val="auto"/>
                <w:sz w:val="24"/>
                <w:szCs w:val="24"/>
              </w:rPr>
            </w:pPr>
            <w:r>
              <w:rPr>
                <w:rFonts w:hint="eastAsia" w:ascii="宋体" w:hAnsi="宋体" w:cs="宋体"/>
                <w:b/>
                <w:bCs/>
                <w:color w:val="auto"/>
                <w:sz w:val="24"/>
                <w:szCs w:val="24"/>
              </w:rPr>
              <w:t>种类名称</w:t>
            </w:r>
          </w:p>
        </w:tc>
      </w:tr>
      <w:tr w14:paraId="4D14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5" w:type="dxa"/>
            <w:vMerge w:val="restart"/>
            <w:noWrap w:val="0"/>
            <w:vAlign w:val="center"/>
          </w:tcPr>
          <w:p w14:paraId="5BBEA0B6">
            <w:pPr>
              <w:jc w:val="center"/>
              <w:rPr>
                <w:rFonts w:ascii="宋体" w:cs="Times New Roman"/>
                <w:color w:val="auto"/>
                <w:sz w:val="24"/>
                <w:szCs w:val="24"/>
              </w:rPr>
            </w:pPr>
            <w:r>
              <w:rPr>
                <w:rFonts w:hint="eastAsia" w:ascii="宋体" w:hAnsi="宋体" w:cs="宋体"/>
                <w:color w:val="auto"/>
                <w:sz w:val="24"/>
                <w:szCs w:val="24"/>
              </w:rPr>
              <w:t>农副产品</w:t>
            </w:r>
          </w:p>
        </w:tc>
        <w:tc>
          <w:tcPr>
            <w:tcW w:w="948" w:type="dxa"/>
            <w:noWrap w:val="0"/>
            <w:vAlign w:val="center"/>
          </w:tcPr>
          <w:p w14:paraId="69F67A9E">
            <w:pPr>
              <w:jc w:val="center"/>
              <w:rPr>
                <w:rFonts w:ascii="宋体" w:cs="Times New Roman"/>
                <w:color w:val="auto"/>
                <w:sz w:val="24"/>
                <w:szCs w:val="24"/>
              </w:rPr>
            </w:pPr>
            <w:r>
              <w:rPr>
                <w:rFonts w:hint="eastAsia" w:ascii="宋体" w:hAnsi="宋体" w:cs="宋体"/>
                <w:color w:val="auto"/>
                <w:sz w:val="24"/>
                <w:szCs w:val="24"/>
              </w:rPr>
              <w:t>蔬菜类</w:t>
            </w:r>
          </w:p>
        </w:tc>
        <w:tc>
          <w:tcPr>
            <w:tcW w:w="7377" w:type="dxa"/>
            <w:noWrap w:val="0"/>
            <w:vAlign w:val="center"/>
          </w:tcPr>
          <w:p w14:paraId="641BB5EF">
            <w:pPr>
              <w:rPr>
                <w:rFonts w:ascii="宋体" w:cs="Times New Roman"/>
                <w:color w:val="auto"/>
                <w:sz w:val="24"/>
                <w:szCs w:val="24"/>
              </w:rPr>
            </w:pPr>
            <w:r>
              <w:rPr>
                <w:rFonts w:hint="eastAsia" w:ascii="宋体" w:hAnsi="宋体" w:cs="宋体"/>
                <w:color w:val="auto"/>
                <w:sz w:val="24"/>
                <w:szCs w:val="24"/>
              </w:rPr>
              <w:t>生菜、上海青、小白菜、苦麦菜、包心菜、水通芥菜、芥菜、奶白菜、韭菜、西洋菜、枸杞叶、绍菜、潺菜、番薯叶、香花菜、大白菜、春菜、菜心、油麦菜、苋菜、韭菜花、葱、姜、沙姜、蒜头、蒜苗、蒜心、菜花、圆椒、尖椒、兰豆、四季豆、豆角、西芹、香芹、韭黄、芫茜（香菜）、通菜、菠菜、紫苏叶、莴笋、皇帝菜、豆芽、洋葱、蒜头、胶笋、芦笋、牛蒡、京葱、雪里红、菜花、西兰花等。</w:t>
            </w:r>
          </w:p>
        </w:tc>
      </w:tr>
      <w:tr w14:paraId="3DA4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075" w:type="dxa"/>
            <w:vMerge w:val="continue"/>
            <w:noWrap w:val="0"/>
            <w:vAlign w:val="center"/>
          </w:tcPr>
          <w:p w14:paraId="7E1207F2">
            <w:pPr>
              <w:jc w:val="center"/>
              <w:rPr>
                <w:rFonts w:ascii="宋体" w:cs="Times New Roman"/>
                <w:color w:val="auto"/>
                <w:sz w:val="24"/>
                <w:szCs w:val="24"/>
              </w:rPr>
            </w:pPr>
          </w:p>
        </w:tc>
        <w:tc>
          <w:tcPr>
            <w:tcW w:w="948" w:type="dxa"/>
            <w:noWrap w:val="0"/>
            <w:vAlign w:val="center"/>
          </w:tcPr>
          <w:p w14:paraId="082CF3A5">
            <w:pPr>
              <w:jc w:val="center"/>
              <w:rPr>
                <w:rFonts w:ascii="宋体" w:cs="Times New Roman"/>
                <w:color w:val="auto"/>
                <w:sz w:val="24"/>
                <w:szCs w:val="24"/>
              </w:rPr>
            </w:pPr>
            <w:r>
              <w:rPr>
                <w:rFonts w:hint="eastAsia" w:ascii="宋体" w:hAnsi="宋体" w:cs="宋体"/>
                <w:color w:val="auto"/>
                <w:sz w:val="24"/>
                <w:szCs w:val="24"/>
              </w:rPr>
              <w:t>瓜果类（蔬果产品）</w:t>
            </w:r>
          </w:p>
        </w:tc>
        <w:tc>
          <w:tcPr>
            <w:tcW w:w="7377" w:type="dxa"/>
            <w:noWrap w:val="0"/>
            <w:vAlign w:val="center"/>
          </w:tcPr>
          <w:p w14:paraId="5B5C10B1">
            <w:pPr>
              <w:rPr>
                <w:rFonts w:ascii="宋体" w:cs="Times New Roman"/>
                <w:color w:val="auto"/>
                <w:sz w:val="24"/>
                <w:szCs w:val="24"/>
              </w:rPr>
            </w:pPr>
            <w:r>
              <w:rPr>
                <w:rFonts w:hint="eastAsia" w:ascii="宋体" w:hAnsi="宋体" w:cs="宋体"/>
                <w:color w:val="auto"/>
                <w:sz w:val="24"/>
                <w:szCs w:val="24"/>
              </w:rPr>
              <w:t>青瓜</w:t>
            </w:r>
            <w:r>
              <w:rPr>
                <w:rFonts w:ascii="宋体" w:hAnsi="宋体" w:cs="宋体"/>
                <w:color w:val="auto"/>
                <w:sz w:val="24"/>
                <w:szCs w:val="24"/>
              </w:rPr>
              <w:t xml:space="preserve"> </w:t>
            </w:r>
            <w:r>
              <w:rPr>
                <w:rFonts w:hint="eastAsia" w:ascii="宋体" w:hAnsi="宋体" w:cs="宋体"/>
                <w:color w:val="auto"/>
                <w:sz w:val="24"/>
                <w:szCs w:val="24"/>
              </w:rPr>
              <w:t>、白瓜、丝瓜、节瓜、冬瓜、南瓜、葫芦瓜、水瓜、佛手瓜、木瓜、苦瓜、茄瓜、黄瓜、云南小瓜、西红市、土豆、黄豆、青豆、</w:t>
            </w:r>
            <w:bookmarkStart w:id="0" w:name="_GoBack"/>
            <w:bookmarkEnd w:id="0"/>
            <w:r>
              <w:rPr>
                <w:rFonts w:hint="eastAsia" w:ascii="宋体" w:hAnsi="宋体" w:cs="宋体"/>
                <w:color w:val="auto"/>
                <w:sz w:val="24"/>
                <w:szCs w:val="24"/>
                <w:lang w:eastAsia="zh-CN"/>
              </w:rPr>
              <w:t>板栗</w:t>
            </w:r>
            <w:r>
              <w:rPr>
                <w:rFonts w:hint="eastAsia" w:ascii="宋体" w:hAnsi="宋体" w:cs="宋体"/>
                <w:color w:val="auto"/>
                <w:sz w:val="24"/>
                <w:szCs w:val="24"/>
              </w:rPr>
              <w:t>、玉米、花生、毛豆、鲜百合、沙葛、马蹄、红薯、芋头、粉葛、莲藕、维山、鲜莲子等。</w:t>
            </w:r>
          </w:p>
        </w:tc>
      </w:tr>
      <w:tr w14:paraId="1BE4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75" w:type="dxa"/>
            <w:vMerge w:val="continue"/>
            <w:noWrap w:val="0"/>
            <w:vAlign w:val="center"/>
          </w:tcPr>
          <w:p w14:paraId="18304D6A">
            <w:pPr>
              <w:jc w:val="center"/>
              <w:rPr>
                <w:rFonts w:ascii="宋体" w:cs="Times New Roman"/>
                <w:color w:val="auto"/>
                <w:sz w:val="24"/>
                <w:szCs w:val="24"/>
              </w:rPr>
            </w:pPr>
          </w:p>
        </w:tc>
        <w:tc>
          <w:tcPr>
            <w:tcW w:w="948" w:type="dxa"/>
            <w:noWrap w:val="0"/>
            <w:vAlign w:val="center"/>
          </w:tcPr>
          <w:p w14:paraId="54E9F941">
            <w:pPr>
              <w:jc w:val="center"/>
              <w:rPr>
                <w:rFonts w:ascii="宋体" w:cs="Times New Roman"/>
                <w:color w:val="auto"/>
                <w:sz w:val="24"/>
                <w:szCs w:val="24"/>
              </w:rPr>
            </w:pPr>
            <w:r>
              <w:rPr>
                <w:rFonts w:hint="eastAsia" w:ascii="宋体" w:hAnsi="宋体" w:cs="宋体"/>
                <w:color w:val="auto"/>
                <w:sz w:val="24"/>
                <w:szCs w:val="24"/>
              </w:rPr>
              <w:t>瓜果类（水果产品）</w:t>
            </w:r>
          </w:p>
        </w:tc>
        <w:tc>
          <w:tcPr>
            <w:tcW w:w="7377" w:type="dxa"/>
            <w:noWrap w:val="0"/>
            <w:vAlign w:val="center"/>
          </w:tcPr>
          <w:p w14:paraId="24380E08">
            <w:pPr>
              <w:rPr>
                <w:rFonts w:ascii="宋体" w:cs="Times New Roman"/>
                <w:color w:val="auto"/>
                <w:sz w:val="24"/>
                <w:szCs w:val="24"/>
              </w:rPr>
            </w:pPr>
            <w:r>
              <w:rPr>
                <w:rFonts w:hint="eastAsia" w:ascii="宋体" w:hAnsi="宋体" w:cs="宋体"/>
                <w:color w:val="auto"/>
                <w:sz w:val="24"/>
                <w:szCs w:val="24"/>
              </w:rPr>
              <w:t>香蕉、粉蕉、大蕉、橙、苹果、雪梨、石榴、番石榴、龙眼、香瓜、柿子、红枣、青枣、香</w:t>
            </w:r>
            <w:r>
              <w:rPr>
                <w:rFonts w:ascii="宋体" w:hAnsi="宋体" w:cs="宋体"/>
                <w:color w:val="auto"/>
                <w:sz w:val="24"/>
                <w:szCs w:val="24"/>
              </w:rPr>
              <w:t xml:space="preserve"> </w:t>
            </w:r>
            <w:r>
              <w:rPr>
                <w:rFonts w:hint="eastAsia" w:ascii="宋体" w:hAnsi="宋体" w:cs="宋体"/>
                <w:color w:val="auto"/>
                <w:sz w:val="24"/>
                <w:szCs w:val="24"/>
              </w:rPr>
              <w:t>梨、圣女果、西瓜、哈蜜瓜、贡柑、沙糖桔、柚子、提子、荔枝、椰子等。</w:t>
            </w:r>
          </w:p>
        </w:tc>
      </w:tr>
      <w:tr w14:paraId="22C7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75" w:type="dxa"/>
            <w:vMerge w:val="continue"/>
            <w:noWrap w:val="0"/>
            <w:vAlign w:val="center"/>
          </w:tcPr>
          <w:p w14:paraId="647580F6">
            <w:pPr>
              <w:jc w:val="center"/>
              <w:rPr>
                <w:rFonts w:ascii="宋体" w:cs="Times New Roman"/>
                <w:color w:val="auto"/>
                <w:sz w:val="24"/>
                <w:szCs w:val="24"/>
              </w:rPr>
            </w:pPr>
          </w:p>
        </w:tc>
        <w:tc>
          <w:tcPr>
            <w:tcW w:w="948" w:type="dxa"/>
            <w:vMerge w:val="restart"/>
            <w:noWrap w:val="0"/>
            <w:vAlign w:val="center"/>
          </w:tcPr>
          <w:p w14:paraId="24E75540">
            <w:pPr>
              <w:jc w:val="center"/>
              <w:rPr>
                <w:rFonts w:ascii="宋体" w:cs="Times New Roman"/>
                <w:color w:val="auto"/>
                <w:sz w:val="24"/>
                <w:szCs w:val="24"/>
              </w:rPr>
            </w:pPr>
            <w:r>
              <w:rPr>
                <w:rFonts w:hint="eastAsia" w:ascii="宋体" w:hAnsi="宋体" w:cs="宋体"/>
                <w:color w:val="auto"/>
                <w:sz w:val="24"/>
                <w:szCs w:val="24"/>
              </w:rPr>
              <w:t>肉类（含蛋类）</w:t>
            </w:r>
          </w:p>
        </w:tc>
        <w:tc>
          <w:tcPr>
            <w:tcW w:w="7377" w:type="dxa"/>
            <w:noWrap w:val="0"/>
            <w:vAlign w:val="center"/>
          </w:tcPr>
          <w:p w14:paraId="3EB8E4D8">
            <w:pPr>
              <w:rPr>
                <w:rFonts w:ascii="宋体" w:cs="Times New Roman"/>
                <w:color w:val="auto"/>
                <w:sz w:val="24"/>
                <w:szCs w:val="24"/>
              </w:rPr>
            </w:pPr>
            <w:r>
              <w:rPr>
                <w:rFonts w:hint="eastAsia" w:ascii="宋体" w:hAnsi="宋体" w:cs="宋体"/>
                <w:color w:val="auto"/>
                <w:sz w:val="24"/>
                <w:szCs w:val="24"/>
              </w:rPr>
              <w:t>生猪（肉、骨）、生牛（肉、骨）、羊（肉、骨）、驴（肉、骨）、光禽鸡肉、光禽鹅肉、光禽鸭肉、光禽乳鸽等。</w:t>
            </w:r>
          </w:p>
        </w:tc>
      </w:tr>
      <w:tr w14:paraId="7718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75" w:type="dxa"/>
            <w:vMerge w:val="continue"/>
            <w:noWrap w:val="0"/>
            <w:vAlign w:val="center"/>
          </w:tcPr>
          <w:p w14:paraId="18C5C325">
            <w:pPr>
              <w:jc w:val="center"/>
              <w:rPr>
                <w:rFonts w:ascii="宋体" w:cs="Times New Roman"/>
                <w:color w:val="auto"/>
                <w:sz w:val="24"/>
                <w:szCs w:val="24"/>
              </w:rPr>
            </w:pPr>
          </w:p>
        </w:tc>
        <w:tc>
          <w:tcPr>
            <w:tcW w:w="948" w:type="dxa"/>
            <w:vMerge w:val="continue"/>
            <w:noWrap w:val="0"/>
            <w:vAlign w:val="center"/>
          </w:tcPr>
          <w:p w14:paraId="571E8ABA">
            <w:pPr>
              <w:jc w:val="center"/>
              <w:rPr>
                <w:rFonts w:ascii="宋体" w:cs="Times New Roman"/>
                <w:color w:val="auto"/>
                <w:sz w:val="24"/>
                <w:szCs w:val="24"/>
              </w:rPr>
            </w:pPr>
          </w:p>
        </w:tc>
        <w:tc>
          <w:tcPr>
            <w:tcW w:w="7377" w:type="dxa"/>
            <w:noWrap w:val="0"/>
            <w:vAlign w:val="center"/>
          </w:tcPr>
          <w:p w14:paraId="3F3E9A4E">
            <w:pPr>
              <w:rPr>
                <w:rFonts w:ascii="宋体" w:cs="Times New Roman"/>
                <w:color w:val="auto"/>
                <w:sz w:val="24"/>
                <w:szCs w:val="24"/>
              </w:rPr>
            </w:pPr>
            <w:r>
              <w:rPr>
                <w:rFonts w:hint="eastAsia" w:ascii="宋体" w:hAnsi="宋体" w:cs="宋体"/>
                <w:color w:val="auto"/>
                <w:sz w:val="24"/>
                <w:szCs w:val="24"/>
              </w:rPr>
              <w:t>鸡蛋、鸭蛋、鹅蛋、皮蛋、咸蛋、鹌鹑蛋等。</w:t>
            </w:r>
          </w:p>
        </w:tc>
      </w:tr>
      <w:tr w14:paraId="5AE7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trPr>
        <w:tc>
          <w:tcPr>
            <w:tcW w:w="1075" w:type="dxa"/>
            <w:vMerge w:val="continue"/>
            <w:noWrap w:val="0"/>
            <w:vAlign w:val="center"/>
          </w:tcPr>
          <w:p w14:paraId="67E2BDCE">
            <w:pPr>
              <w:jc w:val="center"/>
              <w:rPr>
                <w:rFonts w:ascii="宋体" w:cs="Times New Roman"/>
                <w:color w:val="auto"/>
                <w:sz w:val="24"/>
                <w:szCs w:val="24"/>
              </w:rPr>
            </w:pPr>
          </w:p>
        </w:tc>
        <w:tc>
          <w:tcPr>
            <w:tcW w:w="948" w:type="dxa"/>
            <w:noWrap w:val="0"/>
            <w:vAlign w:val="center"/>
          </w:tcPr>
          <w:p w14:paraId="5BFAAA08">
            <w:pPr>
              <w:jc w:val="center"/>
              <w:rPr>
                <w:rFonts w:ascii="宋体" w:cs="Times New Roman"/>
                <w:color w:val="auto"/>
                <w:sz w:val="24"/>
                <w:szCs w:val="24"/>
              </w:rPr>
            </w:pPr>
            <w:r>
              <w:rPr>
                <w:rFonts w:hint="eastAsia" w:ascii="宋体" w:hAnsi="宋体" w:cs="宋体"/>
                <w:color w:val="auto"/>
                <w:sz w:val="24"/>
                <w:szCs w:val="24"/>
              </w:rPr>
              <w:t>干货类</w:t>
            </w:r>
          </w:p>
        </w:tc>
        <w:tc>
          <w:tcPr>
            <w:tcW w:w="7377" w:type="dxa"/>
            <w:noWrap w:val="0"/>
            <w:vAlign w:val="center"/>
          </w:tcPr>
          <w:p w14:paraId="62B43519">
            <w:pPr>
              <w:rPr>
                <w:rFonts w:ascii="宋体" w:cs="Times New Roman"/>
                <w:color w:val="auto"/>
                <w:sz w:val="24"/>
                <w:szCs w:val="24"/>
              </w:rPr>
            </w:pPr>
            <w:r>
              <w:rPr>
                <w:rFonts w:hint="eastAsia" w:ascii="宋体" w:hAnsi="宋体" w:cs="宋体"/>
                <w:color w:val="auto"/>
                <w:sz w:val="24"/>
                <w:szCs w:val="24"/>
              </w:rPr>
              <w:t>菜干、干冬菇、干木耳、干茶树菇、陈皮、提子干、鸡骨草、五指毛桃、干腐皮、干金针菜、干沙姜、干葱头、昆布、干云耳、虾米、瑶柱、贝壳类干货、当归、无花果、干鱿鱼、虾皮、水草、菊花、海带、面筋、腐竹、榄角、粽叶、冬瓜干、丁香、虫草花、花旗参、淡菜、干生蚝肉、召实、沙参、玉竹、杞子、党参、萝卜干、笋干、昆布、海草、紫菜、螺旋藻、荷叶、椰蓉、棉茵陈、北芪、章鱼、冬瓜干、薏米、红枣、赤小豆、红豆、眉豆、黄豆、百合、莲子、花生、扁豆、绿豆、南北杏、红腰豆等。</w:t>
            </w:r>
          </w:p>
        </w:tc>
      </w:tr>
      <w:tr w14:paraId="7978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75" w:type="dxa"/>
            <w:vMerge w:val="continue"/>
            <w:noWrap w:val="0"/>
            <w:vAlign w:val="center"/>
          </w:tcPr>
          <w:p w14:paraId="17B01D45">
            <w:pPr>
              <w:jc w:val="center"/>
              <w:rPr>
                <w:rFonts w:ascii="宋体" w:cs="Times New Roman"/>
                <w:color w:val="auto"/>
                <w:sz w:val="24"/>
                <w:szCs w:val="24"/>
              </w:rPr>
            </w:pPr>
          </w:p>
        </w:tc>
        <w:tc>
          <w:tcPr>
            <w:tcW w:w="948" w:type="dxa"/>
            <w:noWrap w:val="0"/>
            <w:vAlign w:val="center"/>
          </w:tcPr>
          <w:p w14:paraId="045789D2">
            <w:pPr>
              <w:jc w:val="center"/>
              <w:rPr>
                <w:rFonts w:ascii="宋体" w:cs="Times New Roman"/>
                <w:color w:val="auto"/>
                <w:sz w:val="24"/>
                <w:szCs w:val="24"/>
              </w:rPr>
            </w:pPr>
            <w:r>
              <w:rPr>
                <w:rFonts w:hint="eastAsia" w:ascii="宋体" w:hAnsi="宋体" w:cs="宋体"/>
                <w:color w:val="auto"/>
                <w:sz w:val="24"/>
                <w:szCs w:val="24"/>
              </w:rPr>
              <w:t>水产类</w:t>
            </w:r>
          </w:p>
          <w:p w14:paraId="461ADF77">
            <w:pPr>
              <w:jc w:val="center"/>
              <w:rPr>
                <w:rFonts w:ascii="宋体" w:cs="Times New Roman"/>
                <w:color w:val="auto"/>
                <w:sz w:val="24"/>
                <w:szCs w:val="24"/>
              </w:rPr>
            </w:pPr>
            <w:r>
              <w:rPr>
                <w:rFonts w:hint="eastAsia" w:ascii="宋体" w:hAnsi="宋体" w:cs="宋体"/>
                <w:color w:val="auto"/>
                <w:sz w:val="24"/>
                <w:szCs w:val="24"/>
              </w:rPr>
              <w:t>（淡水产品）</w:t>
            </w:r>
          </w:p>
        </w:tc>
        <w:tc>
          <w:tcPr>
            <w:tcW w:w="7377" w:type="dxa"/>
            <w:noWrap w:val="0"/>
            <w:vAlign w:val="center"/>
          </w:tcPr>
          <w:p w14:paraId="09494BED">
            <w:pPr>
              <w:rPr>
                <w:rFonts w:ascii="宋体" w:cs="Times New Roman"/>
                <w:color w:val="auto"/>
                <w:sz w:val="24"/>
                <w:szCs w:val="24"/>
              </w:rPr>
            </w:pPr>
            <w:r>
              <w:rPr>
                <w:rFonts w:hint="eastAsia" w:ascii="宋体" w:hAnsi="宋体" w:cs="宋体"/>
                <w:color w:val="auto"/>
                <w:sz w:val="24"/>
                <w:szCs w:val="24"/>
              </w:rPr>
              <w:t>鲩鱼、大头鱼、鲫鱼、鲮鱼、生鱼、边鱼、鲈鱼、盲曹鱼、禾顺鱼、桂花鱼、泥鳅鱼、福寿鱼、沙苋等。</w:t>
            </w:r>
          </w:p>
        </w:tc>
      </w:tr>
      <w:tr w14:paraId="4B37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1075" w:type="dxa"/>
            <w:vMerge w:val="continue"/>
            <w:noWrap w:val="0"/>
            <w:vAlign w:val="center"/>
          </w:tcPr>
          <w:p w14:paraId="24BE7015">
            <w:pPr>
              <w:jc w:val="center"/>
              <w:rPr>
                <w:rFonts w:ascii="宋体" w:cs="Times New Roman"/>
                <w:color w:val="auto"/>
                <w:sz w:val="24"/>
                <w:szCs w:val="24"/>
              </w:rPr>
            </w:pPr>
          </w:p>
        </w:tc>
        <w:tc>
          <w:tcPr>
            <w:tcW w:w="948" w:type="dxa"/>
            <w:noWrap w:val="0"/>
            <w:vAlign w:val="center"/>
          </w:tcPr>
          <w:p w14:paraId="6F4DD5FF">
            <w:pPr>
              <w:jc w:val="center"/>
              <w:rPr>
                <w:rFonts w:ascii="宋体" w:cs="Times New Roman"/>
                <w:color w:val="auto"/>
                <w:sz w:val="24"/>
                <w:szCs w:val="24"/>
              </w:rPr>
            </w:pPr>
            <w:r>
              <w:rPr>
                <w:rFonts w:hint="eastAsia" w:ascii="宋体" w:hAnsi="宋体" w:cs="宋体"/>
                <w:color w:val="auto"/>
                <w:sz w:val="24"/>
                <w:szCs w:val="24"/>
              </w:rPr>
              <w:t>水产类</w:t>
            </w:r>
          </w:p>
          <w:p w14:paraId="0F7A45F3">
            <w:pPr>
              <w:jc w:val="center"/>
              <w:rPr>
                <w:rFonts w:ascii="宋体" w:cs="Times New Roman"/>
                <w:color w:val="auto"/>
                <w:sz w:val="24"/>
                <w:szCs w:val="24"/>
              </w:rPr>
            </w:pPr>
            <w:r>
              <w:rPr>
                <w:rFonts w:hint="eastAsia" w:ascii="宋体" w:hAnsi="宋体" w:cs="宋体"/>
                <w:color w:val="auto"/>
                <w:sz w:val="24"/>
                <w:szCs w:val="24"/>
              </w:rPr>
              <w:t>（咸水产品）</w:t>
            </w:r>
          </w:p>
        </w:tc>
        <w:tc>
          <w:tcPr>
            <w:tcW w:w="7377" w:type="dxa"/>
            <w:noWrap w:val="0"/>
            <w:vAlign w:val="center"/>
          </w:tcPr>
          <w:p w14:paraId="0CA5015B">
            <w:pPr>
              <w:rPr>
                <w:rFonts w:ascii="宋体" w:cs="Times New Roman"/>
                <w:color w:val="auto"/>
                <w:sz w:val="24"/>
                <w:szCs w:val="24"/>
              </w:rPr>
            </w:pPr>
            <w:r>
              <w:rPr>
                <w:rFonts w:hint="eastAsia" w:ascii="宋体" w:hAnsi="宋体" w:cs="宋体"/>
                <w:color w:val="auto"/>
                <w:sz w:val="24"/>
                <w:szCs w:val="24"/>
              </w:rPr>
              <w:t>泥猛鱼、黄花鱼、白仓鱼、金仓鱼、笋壳鱼、跳跳鱼、红三鱼、海鲫鱼、乌头鱼、鱿鱼、墨鱼、多宝鱼、带鱼、沙丁鱼、海鲈、秋多鱼、扇贝、生蚝、蚌、螺、苋、白贝、花甲、带子、圣子、虾、蟹等。</w:t>
            </w:r>
          </w:p>
        </w:tc>
      </w:tr>
      <w:tr w14:paraId="754E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075" w:type="dxa"/>
            <w:vMerge w:val="continue"/>
            <w:noWrap w:val="0"/>
            <w:vAlign w:val="center"/>
          </w:tcPr>
          <w:p w14:paraId="107BF5D4">
            <w:pPr>
              <w:jc w:val="center"/>
              <w:rPr>
                <w:rFonts w:ascii="宋体" w:cs="Times New Roman"/>
                <w:color w:val="auto"/>
                <w:sz w:val="24"/>
                <w:szCs w:val="24"/>
              </w:rPr>
            </w:pPr>
          </w:p>
        </w:tc>
        <w:tc>
          <w:tcPr>
            <w:tcW w:w="948" w:type="dxa"/>
            <w:noWrap w:val="0"/>
            <w:vAlign w:val="center"/>
          </w:tcPr>
          <w:p w14:paraId="562F4334">
            <w:pPr>
              <w:jc w:val="center"/>
              <w:rPr>
                <w:rFonts w:ascii="宋体" w:cs="Times New Roman"/>
                <w:color w:val="auto"/>
                <w:sz w:val="24"/>
                <w:szCs w:val="24"/>
              </w:rPr>
            </w:pPr>
            <w:r>
              <w:rPr>
                <w:rFonts w:hint="eastAsia" w:ascii="宋体" w:hAnsi="宋体" w:cs="宋体"/>
                <w:color w:val="auto"/>
                <w:sz w:val="24"/>
                <w:szCs w:val="24"/>
              </w:rPr>
              <w:t>食用菌类</w:t>
            </w:r>
          </w:p>
        </w:tc>
        <w:tc>
          <w:tcPr>
            <w:tcW w:w="7377" w:type="dxa"/>
            <w:noWrap w:val="0"/>
            <w:vAlign w:val="center"/>
          </w:tcPr>
          <w:p w14:paraId="31C1B067">
            <w:pPr>
              <w:rPr>
                <w:rFonts w:ascii="宋体" w:cs="Times New Roman"/>
                <w:color w:val="auto"/>
                <w:sz w:val="24"/>
                <w:szCs w:val="24"/>
              </w:rPr>
            </w:pPr>
            <w:r>
              <w:rPr>
                <w:rFonts w:hint="eastAsia" w:ascii="宋体" w:hAnsi="宋体" w:cs="宋体"/>
                <w:color w:val="auto"/>
                <w:sz w:val="24"/>
                <w:szCs w:val="24"/>
              </w:rPr>
              <w:t>金针菇、茶树菇、海鲜菇、鲜平菇、蘑菇、鲜草菇、袖珍菇、鲜冬菇、鲜木耳等。</w:t>
            </w:r>
          </w:p>
        </w:tc>
      </w:tr>
      <w:tr w14:paraId="2A0E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075" w:type="dxa"/>
            <w:vMerge w:val="continue"/>
            <w:noWrap w:val="0"/>
            <w:vAlign w:val="center"/>
          </w:tcPr>
          <w:p w14:paraId="71D88697">
            <w:pPr>
              <w:jc w:val="center"/>
              <w:rPr>
                <w:rFonts w:ascii="宋体" w:cs="Times New Roman"/>
                <w:color w:val="auto"/>
                <w:sz w:val="24"/>
                <w:szCs w:val="24"/>
              </w:rPr>
            </w:pPr>
          </w:p>
        </w:tc>
        <w:tc>
          <w:tcPr>
            <w:tcW w:w="948" w:type="dxa"/>
            <w:noWrap w:val="0"/>
            <w:vAlign w:val="center"/>
          </w:tcPr>
          <w:p w14:paraId="4DFDA884">
            <w:pPr>
              <w:jc w:val="center"/>
              <w:rPr>
                <w:rFonts w:ascii="宋体" w:cs="Times New Roman"/>
                <w:color w:val="auto"/>
                <w:sz w:val="24"/>
                <w:szCs w:val="24"/>
              </w:rPr>
            </w:pPr>
            <w:r>
              <w:rPr>
                <w:rFonts w:hint="eastAsia" w:ascii="宋体" w:hAnsi="宋体" w:cs="宋体"/>
                <w:color w:val="auto"/>
                <w:sz w:val="24"/>
                <w:szCs w:val="24"/>
              </w:rPr>
              <w:t>腌制类</w:t>
            </w:r>
          </w:p>
        </w:tc>
        <w:tc>
          <w:tcPr>
            <w:tcW w:w="7377" w:type="dxa"/>
            <w:noWrap w:val="0"/>
            <w:vAlign w:val="center"/>
          </w:tcPr>
          <w:p w14:paraId="5D00DD95">
            <w:pPr>
              <w:rPr>
                <w:rFonts w:ascii="宋体" w:cs="Times New Roman"/>
                <w:color w:val="auto"/>
                <w:sz w:val="24"/>
                <w:szCs w:val="24"/>
              </w:rPr>
            </w:pPr>
            <w:r>
              <w:rPr>
                <w:rFonts w:hint="eastAsia" w:ascii="宋体" w:hAnsi="宋体" w:cs="宋体"/>
                <w:color w:val="auto"/>
                <w:sz w:val="24"/>
                <w:szCs w:val="24"/>
              </w:rPr>
              <w:t>酸豆角、酸笋、梅菜、榨菜、大头菜、酸菜、雪菜、萝卜干、冬菜、五柳菜、腌青瓜等。</w:t>
            </w:r>
          </w:p>
        </w:tc>
      </w:tr>
      <w:tr w14:paraId="0367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075" w:type="dxa"/>
            <w:vMerge w:val="continue"/>
            <w:noWrap w:val="0"/>
            <w:vAlign w:val="center"/>
          </w:tcPr>
          <w:p w14:paraId="3652098E">
            <w:pPr>
              <w:jc w:val="center"/>
              <w:rPr>
                <w:rFonts w:ascii="宋体" w:cs="Times New Roman"/>
                <w:color w:val="auto"/>
                <w:sz w:val="24"/>
                <w:szCs w:val="24"/>
              </w:rPr>
            </w:pPr>
          </w:p>
        </w:tc>
        <w:tc>
          <w:tcPr>
            <w:tcW w:w="948" w:type="dxa"/>
            <w:noWrap w:val="0"/>
            <w:vAlign w:val="center"/>
          </w:tcPr>
          <w:p w14:paraId="30AB77D4">
            <w:pPr>
              <w:jc w:val="center"/>
              <w:rPr>
                <w:rFonts w:ascii="宋体" w:cs="Times New Roman"/>
                <w:color w:val="auto"/>
                <w:sz w:val="24"/>
                <w:szCs w:val="24"/>
              </w:rPr>
            </w:pPr>
            <w:r>
              <w:rPr>
                <w:rFonts w:hint="eastAsia" w:ascii="宋体" w:hAnsi="宋体" w:cs="宋体"/>
                <w:color w:val="auto"/>
                <w:sz w:val="24"/>
                <w:szCs w:val="24"/>
              </w:rPr>
              <w:t>豆制品类</w:t>
            </w:r>
          </w:p>
        </w:tc>
        <w:tc>
          <w:tcPr>
            <w:tcW w:w="7377" w:type="dxa"/>
            <w:noWrap w:val="0"/>
            <w:vAlign w:val="center"/>
          </w:tcPr>
          <w:p w14:paraId="6E3E8AEC">
            <w:pPr>
              <w:rPr>
                <w:rFonts w:ascii="宋体" w:cs="Times New Roman"/>
                <w:color w:val="auto"/>
                <w:sz w:val="24"/>
                <w:szCs w:val="24"/>
              </w:rPr>
            </w:pPr>
            <w:r>
              <w:rPr>
                <w:rFonts w:hint="eastAsia" w:ascii="宋体" w:hAnsi="宋体" w:cs="宋体"/>
                <w:color w:val="auto"/>
                <w:sz w:val="24"/>
                <w:szCs w:val="24"/>
              </w:rPr>
              <w:t>豆腐、白豆干、凉皮、烟干、炸豆腐、香干丝、小豆卜、华晨豆卜、千张皮、香干、面筋等。</w:t>
            </w:r>
          </w:p>
        </w:tc>
      </w:tr>
      <w:tr w14:paraId="2BFC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075" w:type="dxa"/>
            <w:vMerge w:val="continue"/>
            <w:noWrap w:val="0"/>
            <w:vAlign w:val="center"/>
          </w:tcPr>
          <w:p w14:paraId="75431581">
            <w:pPr>
              <w:jc w:val="center"/>
              <w:rPr>
                <w:rFonts w:ascii="宋体" w:cs="Times New Roman"/>
                <w:color w:val="auto"/>
                <w:sz w:val="24"/>
                <w:szCs w:val="24"/>
              </w:rPr>
            </w:pPr>
          </w:p>
        </w:tc>
        <w:tc>
          <w:tcPr>
            <w:tcW w:w="948" w:type="dxa"/>
            <w:noWrap w:val="0"/>
            <w:vAlign w:val="center"/>
          </w:tcPr>
          <w:p w14:paraId="500965C5">
            <w:pPr>
              <w:jc w:val="center"/>
              <w:rPr>
                <w:rFonts w:ascii="宋体" w:cs="Times New Roman"/>
                <w:color w:val="auto"/>
                <w:sz w:val="24"/>
                <w:szCs w:val="24"/>
              </w:rPr>
            </w:pPr>
            <w:r>
              <w:rPr>
                <w:rFonts w:hint="eastAsia" w:ascii="宋体" w:hAnsi="宋体" w:cs="宋体"/>
                <w:color w:val="auto"/>
                <w:sz w:val="24"/>
                <w:szCs w:val="24"/>
              </w:rPr>
              <w:t>米面制品类</w:t>
            </w:r>
          </w:p>
        </w:tc>
        <w:tc>
          <w:tcPr>
            <w:tcW w:w="7377" w:type="dxa"/>
            <w:noWrap w:val="0"/>
            <w:vAlign w:val="center"/>
          </w:tcPr>
          <w:p w14:paraId="78A50E43">
            <w:pPr>
              <w:rPr>
                <w:rFonts w:ascii="宋体" w:cs="Times New Roman"/>
                <w:color w:val="auto"/>
                <w:sz w:val="24"/>
                <w:szCs w:val="24"/>
              </w:rPr>
            </w:pPr>
            <w:r>
              <w:rPr>
                <w:rFonts w:hint="eastAsia" w:ascii="宋体" w:hAnsi="宋体" w:cs="宋体"/>
                <w:color w:val="auto"/>
                <w:sz w:val="24"/>
                <w:szCs w:val="24"/>
              </w:rPr>
              <w:t>河粉、布拉肠、饺子皮、云吞皮、猪肠粉、陈村粉、濑粉、面条（非干面类）、粉条、糯米盏、饺子、云吞、汤圆</w:t>
            </w:r>
            <w:r>
              <w:rPr>
                <w:rFonts w:ascii="宋体" w:hAnsi="宋体" w:cs="宋体"/>
                <w:color w:val="auto"/>
                <w:sz w:val="24"/>
                <w:szCs w:val="24"/>
              </w:rPr>
              <w:t xml:space="preserve"> </w:t>
            </w:r>
            <w:r>
              <w:rPr>
                <w:rFonts w:hint="eastAsia" w:ascii="宋体" w:hAnsi="宋体" w:cs="宋体"/>
                <w:color w:val="auto"/>
                <w:sz w:val="24"/>
                <w:szCs w:val="24"/>
              </w:rPr>
              <w:t>、生切面、包子、面包、汤圆等。油条、马仔、咸煎饼、馒头、花卷、叉烧包、生肉包、莲蓉包等。</w:t>
            </w:r>
          </w:p>
        </w:tc>
      </w:tr>
      <w:tr w14:paraId="77C4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5" w:type="dxa"/>
            <w:vMerge w:val="continue"/>
            <w:noWrap w:val="0"/>
            <w:vAlign w:val="center"/>
          </w:tcPr>
          <w:p w14:paraId="656190A7">
            <w:pPr>
              <w:jc w:val="center"/>
              <w:rPr>
                <w:rFonts w:ascii="宋体" w:cs="Times New Roman"/>
                <w:color w:val="auto"/>
                <w:sz w:val="24"/>
                <w:szCs w:val="24"/>
              </w:rPr>
            </w:pPr>
          </w:p>
        </w:tc>
        <w:tc>
          <w:tcPr>
            <w:tcW w:w="948" w:type="dxa"/>
            <w:noWrap w:val="0"/>
            <w:vAlign w:val="center"/>
          </w:tcPr>
          <w:p w14:paraId="5DADAE1B">
            <w:pPr>
              <w:jc w:val="center"/>
              <w:rPr>
                <w:rFonts w:ascii="宋体" w:cs="Times New Roman"/>
                <w:color w:val="auto"/>
                <w:sz w:val="24"/>
                <w:szCs w:val="24"/>
              </w:rPr>
            </w:pPr>
            <w:r>
              <w:rPr>
                <w:rFonts w:hint="eastAsia" w:ascii="宋体" w:hAnsi="宋体" w:cs="宋体"/>
                <w:color w:val="auto"/>
                <w:sz w:val="24"/>
                <w:szCs w:val="24"/>
              </w:rPr>
              <w:t>腊味类</w:t>
            </w:r>
          </w:p>
        </w:tc>
        <w:tc>
          <w:tcPr>
            <w:tcW w:w="7377" w:type="dxa"/>
            <w:noWrap w:val="0"/>
            <w:vAlign w:val="center"/>
          </w:tcPr>
          <w:p w14:paraId="2AE3D7C8">
            <w:pPr>
              <w:rPr>
                <w:rFonts w:ascii="宋体" w:cs="Times New Roman"/>
                <w:color w:val="auto"/>
                <w:sz w:val="24"/>
                <w:szCs w:val="24"/>
              </w:rPr>
            </w:pPr>
            <w:r>
              <w:rPr>
                <w:rFonts w:hint="eastAsia" w:ascii="宋体" w:hAnsi="宋体" w:cs="宋体"/>
                <w:color w:val="auto"/>
                <w:sz w:val="24"/>
                <w:szCs w:val="24"/>
              </w:rPr>
              <w:t>腊肉、腊肠、腊鸭等。</w:t>
            </w:r>
          </w:p>
        </w:tc>
      </w:tr>
      <w:tr w14:paraId="5128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75" w:type="dxa"/>
            <w:vMerge w:val="continue"/>
            <w:noWrap w:val="0"/>
            <w:vAlign w:val="center"/>
          </w:tcPr>
          <w:p w14:paraId="77642366">
            <w:pPr>
              <w:jc w:val="center"/>
              <w:rPr>
                <w:rFonts w:ascii="宋体" w:cs="Times New Roman"/>
                <w:color w:val="auto"/>
                <w:sz w:val="24"/>
                <w:szCs w:val="24"/>
              </w:rPr>
            </w:pPr>
          </w:p>
        </w:tc>
        <w:tc>
          <w:tcPr>
            <w:tcW w:w="948" w:type="dxa"/>
            <w:noWrap w:val="0"/>
            <w:vAlign w:val="center"/>
          </w:tcPr>
          <w:p w14:paraId="481F27E6">
            <w:pPr>
              <w:jc w:val="center"/>
              <w:rPr>
                <w:rFonts w:ascii="宋体" w:cs="Times New Roman"/>
                <w:color w:val="auto"/>
                <w:sz w:val="24"/>
                <w:szCs w:val="24"/>
              </w:rPr>
            </w:pPr>
            <w:r>
              <w:rPr>
                <w:rFonts w:hint="eastAsia" w:ascii="宋体" w:hAnsi="宋体" w:cs="宋体"/>
                <w:color w:val="auto"/>
                <w:sz w:val="24"/>
                <w:szCs w:val="24"/>
              </w:rPr>
              <w:t>熟食类</w:t>
            </w:r>
          </w:p>
        </w:tc>
        <w:tc>
          <w:tcPr>
            <w:tcW w:w="7377" w:type="dxa"/>
            <w:noWrap w:val="0"/>
            <w:vAlign w:val="center"/>
          </w:tcPr>
          <w:p w14:paraId="574372D0">
            <w:pPr>
              <w:rPr>
                <w:rFonts w:ascii="宋体" w:cs="Times New Roman"/>
                <w:color w:val="auto"/>
                <w:sz w:val="24"/>
                <w:szCs w:val="24"/>
              </w:rPr>
            </w:pPr>
            <w:r>
              <w:rPr>
                <w:rFonts w:hint="eastAsia" w:ascii="宋体" w:hAnsi="宋体" w:cs="宋体"/>
                <w:color w:val="auto"/>
                <w:sz w:val="24"/>
                <w:szCs w:val="24"/>
              </w:rPr>
              <w:t>烧肉、烧排骨、叉烧、烧鸭、烧鹅、白切鸡、卤水肉等。</w:t>
            </w:r>
          </w:p>
        </w:tc>
      </w:tr>
      <w:tr w14:paraId="3682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075" w:type="dxa"/>
            <w:vMerge w:val="continue"/>
            <w:noWrap w:val="0"/>
            <w:vAlign w:val="center"/>
          </w:tcPr>
          <w:p w14:paraId="39A64FA0">
            <w:pPr>
              <w:jc w:val="center"/>
              <w:rPr>
                <w:rFonts w:ascii="宋体" w:cs="Times New Roman"/>
                <w:color w:val="auto"/>
                <w:sz w:val="24"/>
                <w:szCs w:val="24"/>
              </w:rPr>
            </w:pPr>
          </w:p>
        </w:tc>
        <w:tc>
          <w:tcPr>
            <w:tcW w:w="948" w:type="dxa"/>
            <w:noWrap w:val="0"/>
            <w:vAlign w:val="center"/>
          </w:tcPr>
          <w:p w14:paraId="0F17ACC4">
            <w:pPr>
              <w:jc w:val="center"/>
              <w:rPr>
                <w:rFonts w:ascii="宋体" w:cs="Times New Roman"/>
                <w:color w:val="auto"/>
                <w:sz w:val="24"/>
                <w:szCs w:val="24"/>
              </w:rPr>
            </w:pPr>
            <w:r>
              <w:rPr>
                <w:rFonts w:hint="eastAsia" w:ascii="宋体" w:hAnsi="宋体" w:cs="宋体"/>
                <w:color w:val="auto"/>
                <w:sz w:val="24"/>
                <w:szCs w:val="24"/>
              </w:rPr>
              <w:t>乳制品类</w:t>
            </w:r>
          </w:p>
        </w:tc>
        <w:tc>
          <w:tcPr>
            <w:tcW w:w="7377" w:type="dxa"/>
            <w:noWrap w:val="0"/>
            <w:vAlign w:val="center"/>
          </w:tcPr>
          <w:p w14:paraId="21031939">
            <w:pPr>
              <w:rPr>
                <w:rFonts w:ascii="宋体" w:cs="Times New Roman"/>
                <w:color w:val="auto"/>
                <w:sz w:val="24"/>
                <w:szCs w:val="24"/>
              </w:rPr>
            </w:pPr>
            <w:r>
              <w:rPr>
                <w:rFonts w:hint="eastAsia" w:ascii="宋体" w:hAnsi="宋体" w:cs="宋体"/>
                <w:color w:val="auto"/>
                <w:sz w:val="24"/>
                <w:szCs w:val="24"/>
              </w:rPr>
              <w:t>鲜牛奶、杀菌奶、灭菌奶、酸奶、全脂乳粉、脱脂乳粉、全脂加糖乳粉、调味乳粉、炼乳类、乳脂肪类打蛋糕用的稀奶油、常见的配面包吃的奶油、干酪类、乳冰淇淋类、干酪素、乳糖、奶片等。</w:t>
            </w:r>
          </w:p>
        </w:tc>
      </w:tr>
      <w:tr w14:paraId="091B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75" w:type="dxa"/>
            <w:vMerge w:val="restart"/>
            <w:noWrap w:val="0"/>
            <w:vAlign w:val="center"/>
          </w:tcPr>
          <w:p w14:paraId="6BD59BCD">
            <w:pPr>
              <w:jc w:val="center"/>
              <w:rPr>
                <w:rFonts w:ascii="宋体" w:cs="Times New Roman"/>
                <w:color w:val="auto"/>
                <w:sz w:val="24"/>
                <w:szCs w:val="24"/>
              </w:rPr>
            </w:pPr>
            <w:r>
              <w:rPr>
                <w:rFonts w:hint="eastAsia" w:ascii="宋体" w:hAnsi="宋体" w:cs="宋体"/>
                <w:color w:val="auto"/>
                <w:sz w:val="24"/>
                <w:szCs w:val="24"/>
              </w:rPr>
              <w:t>副食品</w:t>
            </w:r>
          </w:p>
        </w:tc>
        <w:tc>
          <w:tcPr>
            <w:tcW w:w="948" w:type="dxa"/>
            <w:noWrap w:val="0"/>
            <w:vAlign w:val="center"/>
          </w:tcPr>
          <w:p w14:paraId="76B28841">
            <w:pPr>
              <w:jc w:val="center"/>
              <w:rPr>
                <w:rFonts w:ascii="宋体" w:cs="Times New Roman"/>
                <w:color w:val="auto"/>
                <w:sz w:val="24"/>
                <w:szCs w:val="24"/>
              </w:rPr>
            </w:pPr>
            <w:r>
              <w:rPr>
                <w:rFonts w:hint="eastAsia" w:ascii="宋体" w:hAnsi="宋体" w:cs="宋体"/>
                <w:color w:val="auto"/>
                <w:sz w:val="24"/>
                <w:szCs w:val="24"/>
              </w:rPr>
              <w:t>食品</w:t>
            </w:r>
          </w:p>
        </w:tc>
        <w:tc>
          <w:tcPr>
            <w:tcW w:w="7377" w:type="dxa"/>
            <w:noWrap w:val="0"/>
            <w:vAlign w:val="center"/>
          </w:tcPr>
          <w:p w14:paraId="5D5922E0">
            <w:pPr>
              <w:rPr>
                <w:rFonts w:ascii="宋体" w:cs="Times New Roman"/>
                <w:color w:val="auto"/>
                <w:sz w:val="24"/>
                <w:szCs w:val="24"/>
              </w:rPr>
            </w:pPr>
            <w:r>
              <w:rPr>
                <w:rFonts w:hint="eastAsia" w:ascii="宋体" w:hAnsi="宋体" w:cs="宋体"/>
                <w:color w:val="auto"/>
                <w:sz w:val="24"/>
                <w:szCs w:val="24"/>
              </w:rPr>
              <w:t>罐头类食品等。</w:t>
            </w:r>
          </w:p>
        </w:tc>
      </w:tr>
      <w:tr w14:paraId="3E60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75" w:type="dxa"/>
            <w:vMerge w:val="continue"/>
            <w:noWrap w:val="0"/>
            <w:vAlign w:val="center"/>
          </w:tcPr>
          <w:p w14:paraId="4C58BFD2">
            <w:pPr>
              <w:jc w:val="center"/>
              <w:rPr>
                <w:rFonts w:ascii="宋体" w:cs="Times New Roman"/>
                <w:color w:val="auto"/>
                <w:sz w:val="24"/>
                <w:szCs w:val="24"/>
              </w:rPr>
            </w:pPr>
          </w:p>
        </w:tc>
        <w:tc>
          <w:tcPr>
            <w:tcW w:w="948" w:type="dxa"/>
            <w:noWrap w:val="0"/>
            <w:vAlign w:val="center"/>
          </w:tcPr>
          <w:p w14:paraId="6549446D">
            <w:pPr>
              <w:jc w:val="center"/>
              <w:rPr>
                <w:rFonts w:ascii="宋体" w:cs="Times New Roman"/>
                <w:color w:val="auto"/>
                <w:sz w:val="24"/>
                <w:szCs w:val="24"/>
              </w:rPr>
            </w:pPr>
            <w:r>
              <w:rPr>
                <w:rFonts w:hint="eastAsia" w:ascii="宋体" w:hAnsi="宋体" w:cs="宋体"/>
                <w:color w:val="auto"/>
                <w:sz w:val="24"/>
                <w:szCs w:val="24"/>
              </w:rPr>
              <w:t>非酒精类饮料（不含饮用水）</w:t>
            </w:r>
          </w:p>
        </w:tc>
        <w:tc>
          <w:tcPr>
            <w:tcW w:w="7377" w:type="dxa"/>
            <w:noWrap w:val="0"/>
            <w:vAlign w:val="center"/>
          </w:tcPr>
          <w:p w14:paraId="4EE82BA3">
            <w:pPr>
              <w:rPr>
                <w:rFonts w:ascii="宋体" w:cs="Times New Roman"/>
                <w:color w:val="auto"/>
                <w:sz w:val="24"/>
                <w:szCs w:val="24"/>
              </w:rPr>
            </w:pPr>
            <w:r>
              <w:rPr>
                <w:rFonts w:hint="eastAsia" w:ascii="宋体" w:hAnsi="宋体" w:cs="宋体"/>
                <w:color w:val="auto"/>
                <w:sz w:val="24"/>
                <w:szCs w:val="24"/>
              </w:rPr>
              <w:t>奶制类饮料、果蔬汁饮料、茶饮料、即溶咖啡等。</w:t>
            </w:r>
          </w:p>
        </w:tc>
      </w:tr>
      <w:tr w14:paraId="22C2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075" w:type="dxa"/>
            <w:vMerge w:val="restart"/>
            <w:noWrap w:val="0"/>
            <w:vAlign w:val="center"/>
          </w:tcPr>
          <w:p w14:paraId="5A43BEF2">
            <w:pPr>
              <w:jc w:val="center"/>
              <w:rPr>
                <w:rFonts w:ascii="宋体" w:cs="Times New Roman"/>
                <w:color w:val="auto"/>
                <w:sz w:val="24"/>
                <w:szCs w:val="24"/>
              </w:rPr>
            </w:pPr>
            <w:r>
              <w:rPr>
                <w:rFonts w:hint="eastAsia" w:ascii="宋体" w:hAnsi="宋体" w:cs="宋体"/>
                <w:color w:val="auto"/>
                <w:sz w:val="24"/>
                <w:szCs w:val="24"/>
              </w:rPr>
              <w:t>粮油类</w:t>
            </w:r>
          </w:p>
        </w:tc>
        <w:tc>
          <w:tcPr>
            <w:tcW w:w="948" w:type="dxa"/>
            <w:noWrap w:val="0"/>
            <w:vAlign w:val="center"/>
          </w:tcPr>
          <w:p w14:paraId="4CC182A6">
            <w:pPr>
              <w:jc w:val="center"/>
              <w:rPr>
                <w:rFonts w:ascii="宋体" w:cs="Times New Roman"/>
                <w:color w:val="auto"/>
                <w:sz w:val="24"/>
                <w:szCs w:val="24"/>
              </w:rPr>
            </w:pPr>
            <w:r>
              <w:rPr>
                <w:rFonts w:hint="eastAsia" w:ascii="宋体" w:hAnsi="宋体" w:cs="宋体"/>
                <w:color w:val="auto"/>
                <w:sz w:val="24"/>
                <w:szCs w:val="24"/>
              </w:rPr>
              <w:t>原粮产品</w:t>
            </w:r>
          </w:p>
        </w:tc>
        <w:tc>
          <w:tcPr>
            <w:tcW w:w="7377" w:type="dxa"/>
            <w:noWrap w:val="0"/>
            <w:vAlign w:val="center"/>
          </w:tcPr>
          <w:p w14:paraId="5629CEB1">
            <w:pPr>
              <w:rPr>
                <w:rFonts w:ascii="宋体" w:cs="Times New Roman"/>
                <w:color w:val="auto"/>
                <w:sz w:val="24"/>
                <w:szCs w:val="24"/>
              </w:rPr>
            </w:pPr>
            <w:r>
              <w:rPr>
                <w:rFonts w:hint="eastAsia" w:ascii="宋体" w:hAnsi="宋体" w:cs="宋体"/>
                <w:color w:val="auto"/>
                <w:sz w:val="24"/>
                <w:szCs w:val="24"/>
              </w:rPr>
              <w:t>谷类、麦类、杂粮类和豆类。包括稻谷、小麦、燕麦、玉米粉、高粱、谷子、大麦、荞麦、大豆、小豆、蚕豆、芸豆、甘薯等。</w:t>
            </w:r>
          </w:p>
        </w:tc>
      </w:tr>
      <w:tr w14:paraId="3B13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075" w:type="dxa"/>
            <w:vMerge w:val="continue"/>
            <w:noWrap w:val="0"/>
            <w:vAlign w:val="center"/>
          </w:tcPr>
          <w:p w14:paraId="1958D3D7">
            <w:pPr>
              <w:rPr>
                <w:rFonts w:ascii="宋体" w:cs="Times New Roman"/>
                <w:color w:val="auto"/>
                <w:sz w:val="24"/>
                <w:szCs w:val="24"/>
              </w:rPr>
            </w:pPr>
          </w:p>
        </w:tc>
        <w:tc>
          <w:tcPr>
            <w:tcW w:w="948" w:type="dxa"/>
            <w:noWrap w:val="0"/>
            <w:vAlign w:val="center"/>
          </w:tcPr>
          <w:p w14:paraId="14270D43">
            <w:pPr>
              <w:jc w:val="center"/>
              <w:rPr>
                <w:rFonts w:ascii="宋体" w:cs="Times New Roman"/>
                <w:color w:val="auto"/>
                <w:sz w:val="24"/>
                <w:szCs w:val="24"/>
              </w:rPr>
            </w:pPr>
            <w:r>
              <w:rPr>
                <w:rFonts w:hint="eastAsia" w:ascii="宋体" w:hAnsi="宋体" w:cs="宋体"/>
                <w:color w:val="auto"/>
                <w:sz w:val="24"/>
                <w:szCs w:val="24"/>
              </w:rPr>
              <w:t>成品粮</w:t>
            </w:r>
          </w:p>
        </w:tc>
        <w:tc>
          <w:tcPr>
            <w:tcW w:w="7377" w:type="dxa"/>
            <w:noWrap w:val="0"/>
            <w:vAlign w:val="center"/>
          </w:tcPr>
          <w:p w14:paraId="60854A44">
            <w:pPr>
              <w:rPr>
                <w:rFonts w:ascii="宋体" w:cs="Times New Roman"/>
                <w:color w:val="auto"/>
                <w:sz w:val="24"/>
                <w:szCs w:val="24"/>
              </w:rPr>
            </w:pPr>
            <w:r>
              <w:rPr>
                <w:rFonts w:hint="eastAsia" w:ascii="宋体" w:hAnsi="宋体" w:cs="宋体"/>
                <w:color w:val="auto"/>
                <w:sz w:val="24"/>
                <w:szCs w:val="24"/>
              </w:rPr>
              <w:t>大米、糯米、黑糯米、小麦粉，小米、油菜籽、</w:t>
            </w:r>
            <w:r>
              <w:rPr>
                <w:rFonts w:ascii="宋体" w:hAnsi="宋体" w:cs="宋体"/>
                <w:color w:val="auto"/>
                <w:sz w:val="24"/>
                <w:szCs w:val="24"/>
              </w:rPr>
              <w:t xml:space="preserve"> </w:t>
            </w:r>
            <w:r>
              <w:rPr>
                <w:rFonts w:hint="eastAsia" w:ascii="宋体" w:hAnsi="宋体" w:cs="宋体"/>
                <w:color w:val="auto"/>
                <w:sz w:val="24"/>
                <w:szCs w:val="24"/>
              </w:rPr>
              <w:t>白芝麻、黑芝麻、棉籽、葵花籽、香瓜籽、油茶籽、棕榈籽等。高筋粉、低筋粉、澄面、肠粉粉、马蹄粉等。</w:t>
            </w:r>
          </w:p>
        </w:tc>
      </w:tr>
      <w:tr w14:paraId="160A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075" w:type="dxa"/>
            <w:vMerge w:val="continue"/>
            <w:noWrap w:val="0"/>
            <w:vAlign w:val="center"/>
          </w:tcPr>
          <w:p w14:paraId="73D11E28">
            <w:pPr>
              <w:rPr>
                <w:rFonts w:ascii="宋体" w:cs="Times New Roman"/>
                <w:color w:val="auto"/>
                <w:sz w:val="24"/>
                <w:szCs w:val="24"/>
              </w:rPr>
            </w:pPr>
          </w:p>
        </w:tc>
        <w:tc>
          <w:tcPr>
            <w:tcW w:w="948" w:type="dxa"/>
            <w:noWrap w:val="0"/>
            <w:vAlign w:val="center"/>
          </w:tcPr>
          <w:p w14:paraId="1D86CAE8">
            <w:pPr>
              <w:jc w:val="center"/>
              <w:rPr>
                <w:rFonts w:ascii="宋体" w:cs="Times New Roman"/>
                <w:color w:val="auto"/>
                <w:sz w:val="24"/>
                <w:szCs w:val="24"/>
              </w:rPr>
            </w:pPr>
            <w:r>
              <w:rPr>
                <w:rFonts w:hint="eastAsia" w:ascii="宋体" w:hAnsi="宋体" w:cs="宋体"/>
                <w:color w:val="auto"/>
                <w:sz w:val="24"/>
                <w:szCs w:val="24"/>
              </w:rPr>
              <w:t>油脂</w:t>
            </w:r>
          </w:p>
        </w:tc>
        <w:tc>
          <w:tcPr>
            <w:tcW w:w="7377" w:type="dxa"/>
            <w:noWrap w:val="0"/>
            <w:vAlign w:val="center"/>
          </w:tcPr>
          <w:p w14:paraId="36575BD7">
            <w:pPr>
              <w:rPr>
                <w:rFonts w:ascii="宋体" w:cs="Times New Roman"/>
                <w:color w:val="auto"/>
                <w:sz w:val="24"/>
                <w:szCs w:val="24"/>
              </w:rPr>
            </w:pPr>
            <w:r>
              <w:rPr>
                <w:rFonts w:hint="eastAsia" w:ascii="宋体" w:hAnsi="宋体" w:cs="宋体"/>
                <w:color w:val="auto"/>
                <w:sz w:val="24"/>
                <w:szCs w:val="24"/>
              </w:rPr>
              <w:t>花生油、菜油、香油、葵花籽油、蓖麻籽油、大豆油、玉米胚油、棕榈油、橄榄油，色拉油、调和油，调味油，起酥油等。麻油、花椒油、猪油、黄牛油等。</w:t>
            </w:r>
          </w:p>
        </w:tc>
      </w:tr>
      <w:tr w14:paraId="54FF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trPr>
        <w:tc>
          <w:tcPr>
            <w:tcW w:w="1075" w:type="dxa"/>
            <w:vMerge w:val="continue"/>
            <w:noWrap w:val="0"/>
            <w:vAlign w:val="center"/>
          </w:tcPr>
          <w:p w14:paraId="01D7807A">
            <w:pPr>
              <w:rPr>
                <w:rFonts w:ascii="宋体" w:cs="Times New Roman"/>
                <w:color w:val="auto"/>
                <w:sz w:val="24"/>
                <w:szCs w:val="24"/>
              </w:rPr>
            </w:pPr>
          </w:p>
        </w:tc>
        <w:tc>
          <w:tcPr>
            <w:tcW w:w="948" w:type="dxa"/>
            <w:noWrap w:val="0"/>
            <w:vAlign w:val="center"/>
          </w:tcPr>
          <w:p w14:paraId="723A39F2">
            <w:pPr>
              <w:jc w:val="center"/>
              <w:rPr>
                <w:rFonts w:ascii="宋体" w:cs="Times New Roman"/>
                <w:color w:val="auto"/>
                <w:sz w:val="24"/>
                <w:szCs w:val="24"/>
              </w:rPr>
            </w:pPr>
            <w:r>
              <w:rPr>
                <w:rFonts w:hint="eastAsia" w:ascii="宋体" w:hAnsi="宋体" w:cs="宋体"/>
                <w:color w:val="auto"/>
                <w:sz w:val="24"/>
                <w:szCs w:val="24"/>
              </w:rPr>
              <w:t>粮油制品</w:t>
            </w:r>
          </w:p>
        </w:tc>
        <w:tc>
          <w:tcPr>
            <w:tcW w:w="7377" w:type="dxa"/>
            <w:noWrap w:val="0"/>
            <w:vAlign w:val="center"/>
          </w:tcPr>
          <w:p w14:paraId="3597D68D">
            <w:pPr>
              <w:rPr>
                <w:rFonts w:ascii="宋体" w:cs="Times New Roman"/>
                <w:color w:val="auto"/>
                <w:sz w:val="24"/>
                <w:szCs w:val="24"/>
              </w:rPr>
            </w:pPr>
            <w:r>
              <w:rPr>
                <w:rFonts w:hint="eastAsia" w:ascii="宋体" w:hAnsi="宋体" w:cs="宋体"/>
                <w:color w:val="auto"/>
                <w:sz w:val="24"/>
                <w:szCs w:val="24"/>
              </w:rPr>
              <w:t>杂面茶、挂面、龙须面，荞麦挂面，通心面，凉面，面饼，方便面，米粉、粉丝、西米、花生米、烧饼、可可粉、色拉调料、芝麻酱、面粉、糯米粉、粘米粉、生粉、花生酱、奶粉等。</w:t>
            </w:r>
          </w:p>
        </w:tc>
      </w:tr>
      <w:tr w14:paraId="38AE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075" w:type="dxa"/>
            <w:vMerge w:val="continue"/>
            <w:noWrap w:val="0"/>
            <w:vAlign w:val="center"/>
          </w:tcPr>
          <w:p w14:paraId="513963A8">
            <w:pPr>
              <w:rPr>
                <w:rFonts w:ascii="宋体" w:cs="Times New Roman"/>
                <w:color w:val="auto"/>
                <w:sz w:val="24"/>
                <w:szCs w:val="24"/>
              </w:rPr>
            </w:pPr>
          </w:p>
        </w:tc>
        <w:tc>
          <w:tcPr>
            <w:tcW w:w="948" w:type="dxa"/>
            <w:noWrap w:val="0"/>
            <w:vAlign w:val="center"/>
          </w:tcPr>
          <w:p w14:paraId="7F722E61">
            <w:pPr>
              <w:jc w:val="center"/>
              <w:rPr>
                <w:rFonts w:ascii="宋体" w:cs="Times New Roman"/>
                <w:color w:val="auto"/>
                <w:sz w:val="24"/>
                <w:szCs w:val="24"/>
              </w:rPr>
            </w:pPr>
            <w:r>
              <w:rPr>
                <w:rFonts w:hint="eastAsia" w:ascii="宋体" w:hAnsi="宋体" w:cs="宋体"/>
                <w:color w:val="auto"/>
                <w:sz w:val="24"/>
                <w:szCs w:val="24"/>
              </w:rPr>
              <w:t>调味品</w:t>
            </w:r>
          </w:p>
        </w:tc>
        <w:tc>
          <w:tcPr>
            <w:tcW w:w="7377" w:type="dxa"/>
            <w:noWrap w:val="0"/>
            <w:vAlign w:val="center"/>
          </w:tcPr>
          <w:p w14:paraId="6F297B55">
            <w:pPr>
              <w:rPr>
                <w:rFonts w:ascii="宋体" w:cs="Times New Roman"/>
                <w:color w:val="auto"/>
                <w:sz w:val="24"/>
                <w:szCs w:val="24"/>
              </w:rPr>
            </w:pPr>
            <w:r>
              <w:rPr>
                <w:rFonts w:hint="eastAsia" w:ascii="宋体" w:hAnsi="宋体" w:cs="宋体"/>
                <w:color w:val="auto"/>
                <w:sz w:val="24"/>
                <w:szCs w:val="24"/>
              </w:rPr>
              <w:t>盐、酱、醋、味精、糖、辣椒酱、腐乳、豆鼓、橄榄菜、鸡粉、番茄酱、炼奶、南乳、枧水、泰汁、急汁等。水煮料、花雕酒、二锅头、黄灯笼辣椒酱、紫金辣椒酱、辣椒油、豆瓣酱、豆豉、椰浆、三花奶、咖喱膏、咖喱油、泡打、酵母粉、吉仕粉、塔塔粉、抹茶粉、面包改良剂、蜜糖、冰糖、白砂糖、红片糖、豆豉鲮鱼、野山椒、沙茶酱、椒盐、孜然粉、十三香、黑椒粒、胡椒粉、白胡椒粒、卤水汁、五香料等。</w:t>
            </w:r>
          </w:p>
        </w:tc>
      </w:tr>
    </w:tbl>
    <w:p w14:paraId="2C276A7C">
      <w:pPr>
        <w:pStyle w:val="5"/>
        <w:adjustRightInd w:val="0"/>
        <w:snapToGrid w:val="0"/>
        <w:spacing w:line="360" w:lineRule="auto"/>
        <w:ind w:firstLine="482" w:firstLineChars="200"/>
        <w:rPr>
          <w:rFonts w:hAnsi="宋体" w:cs="Times New Roman"/>
          <w:b/>
          <w:bCs/>
          <w:color w:val="auto"/>
          <w:sz w:val="24"/>
          <w:szCs w:val="24"/>
        </w:rPr>
      </w:pPr>
      <w:r>
        <w:rPr>
          <w:rFonts w:hint="eastAsia" w:hAnsi="宋体"/>
          <w:b/>
          <w:bCs/>
          <w:color w:val="auto"/>
          <w:sz w:val="24"/>
          <w:szCs w:val="24"/>
        </w:rPr>
        <w:t>中标供应商在合同有效期内负责供应的农副产品、副食品以及粮油产品，应包括但不限于以上内容。</w:t>
      </w:r>
    </w:p>
    <w:p w14:paraId="62E52F7A">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验收标准与质量要求</w:t>
      </w:r>
    </w:p>
    <w:p w14:paraId="51ED5D00">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总体要求</w:t>
      </w:r>
    </w:p>
    <w:p w14:paraId="5CAF8403">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）中标供应商所供的食材须符合《中华人民共和国食品安全法》要求，且均为非转基因食品。</w:t>
      </w:r>
    </w:p>
    <w:p w14:paraId="15F6AE9B">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）所有货物指标要符合国家强制性标准要求，冻食品类产品，投标人必须清晰地列出产品品牌，型号、包装类型、包装方式、包装净重量、含冰量等相关参数，且包装箱上必须贴有</w:t>
      </w:r>
      <w:r>
        <w:rPr>
          <w:rFonts w:hAnsi="宋体"/>
          <w:color w:val="auto"/>
          <w:sz w:val="24"/>
          <w:szCs w:val="24"/>
        </w:rPr>
        <w:t>SC</w:t>
      </w:r>
      <w:r>
        <w:rPr>
          <w:rFonts w:hint="eastAsia" w:hAnsi="宋体"/>
          <w:color w:val="auto"/>
          <w:sz w:val="24"/>
          <w:szCs w:val="24"/>
        </w:rPr>
        <w:t>标志。</w:t>
      </w:r>
    </w:p>
    <w:p w14:paraId="426BB4F0">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3</w:t>
      </w:r>
      <w:r>
        <w:rPr>
          <w:rFonts w:hint="eastAsia" w:hAnsi="宋体"/>
          <w:color w:val="auto"/>
          <w:sz w:val="24"/>
          <w:szCs w:val="24"/>
        </w:rPr>
        <w:t>）商品的生产商必须具有《企业法人营业执照》、食品生产许可证或食品经营许可证、《全国工业产品生产许可证》和《动物防疫合格证》。</w:t>
      </w:r>
    </w:p>
    <w:p w14:paraId="38380B17">
      <w:pPr>
        <w:pStyle w:val="5"/>
        <w:tabs>
          <w:tab w:val="left" w:pos="540"/>
        </w:tabs>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4</w:t>
      </w:r>
      <w:r>
        <w:rPr>
          <w:rFonts w:hint="eastAsia" w:hAnsi="宋体"/>
          <w:color w:val="auto"/>
          <w:sz w:val="24"/>
          <w:szCs w:val="24"/>
        </w:rPr>
        <w:t>）供应商必须在采购人指定交货地点</w:t>
      </w:r>
      <w:r>
        <w:rPr>
          <w:rFonts w:hAnsi="宋体"/>
          <w:color w:val="auto"/>
          <w:sz w:val="24"/>
          <w:szCs w:val="24"/>
        </w:rPr>
        <w:t>2</w:t>
      </w:r>
      <w:r>
        <w:rPr>
          <w:rFonts w:hint="eastAsia" w:hAnsi="宋体"/>
          <w:color w:val="auto"/>
          <w:sz w:val="24"/>
          <w:szCs w:val="24"/>
        </w:rPr>
        <w:t>小时范围内设有固定的冷冻储存库，其储存量应能满足采购人的三天需求。</w:t>
      </w:r>
    </w:p>
    <w:p w14:paraId="1DC92001">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1.</w:t>
      </w:r>
      <w:r>
        <w:rPr>
          <w:rFonts w:hint="eastAsia" w:hAnsi="宋体"/>
          <w:b/>
          <w:bCs/>
          <w:color w:val="auto"/>
          <w:sz w:val="24"/>
          <w:szCs w:val="24"/>
        </w:rPr>
        <w:t>农副产品</w:t>
      </w:r>
    </w:p>
    <w:p w14:paraId="14C6FD1C">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1.1.</w:t>
      </w:r>
      <w:r>
        <w:rPr>
          <w:rFonts w:hint="eastAsia" w:hAnsi="宋体"/>
          <w:b/>
          <w:bCs/>
          <w:color w:val="auto"/>
          <w:sz w:val="24"/>
          <w:szCs w:val="24"/>
        </w:rPr>
        <w:t>蔬菜、瓜果类（含水果类）验收标准</w:t>
      </w:r>
    </w:p>
    <w:p w14:paraId="2927946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持良好的色泽和新鲜度。</w:t>
      </w:r>
    </w:p>
    <w:p w14:paraId="0039F13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从蔬菜色泽看，各种蔬菜都应具有本品种固有的颜色，大多数有发亮的光泽，以此显示蔬菜的成熟度及鲜嫩程度；</w:t>
      </w:r>
    </w:p>
    <w:p w14:paraId="3E7934E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从蔬菜气味看，多数蔬菜具有清馨、甘辛香、甜酸香等气味，可凭嗅觉识别不同品种的质量，不允许有腐烂变质的亚硝酸盐味和其他异常气味；</w:t>
      </w:r>
    </w:p>
    <w:p w14:paraId="3CDBDF6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从蔬菜滋味看，因品种不同而各异，多数蔬菜滋味甘淡、甜酸、清爽鲜美，少数具有辛酸、苦涩等特殊风味以刺激食欲，如失去本品种原有的滋味即为异常；</w:t>
      </w:r>
    </w:p>
    <w:p w14:paraId="1BA40372">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从蔬菜形态看，应尽量避免由于客观因素而造成的各种非正常、不新鲜的蔬菜，例如萎蔫、枯塌、损伤、病变、虫害侵蚀等引起的形态异常等；</w:t>
      </w:r>
    </w:p>
    <w:p w14:paraId="17E1A9E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叶菜类：生菜、白菜、通心菜、苋菜等绿叶菜类及大白菜、椰菜等普通叶菜。</w:t>
      </w:r>
    </w:p>
    <w:p w14:paraId="1B7B66BD">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属同一品种规格，肉质鲜嫩形态好，色泽正常，茎基部削平，无枯黄叶、病叶、泥土、明显机械伤和病虫害伤，无烧心焦边、腐烂等现象，无异味，结球叶菜要结球适度；</w:t>
      </w:r>
    </w:p>
    <w:p w14:paraId="05F51406">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茄果类：西红柿、茄瓜、圆椒、尖椒等；</w:t>
      </w:r>
    </w:p>
    <w:p w14:paraId="6A0CA42F">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属同一品种规格，果实整洁，成熟度适中，无裂果及空洞现象，茄果不能有裂蒂及果皮变硬现象，无腐烂、异味，无明显机械伤；</w:t>
      </w:r>
    </w:p>
    <w:p w14:paraId="545A9EE3">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瓜果类：黄瓜、冬瓜、丝瓜、苦瓜、南瓜、节瓜等；</w:t>
      </w:r>
    </w:p>
    <w:p w14:paraId="3BD68F6A">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属同一品种规格，色泽一致，无疤点，无断裂，无腐烂、异味、明显机械伤，不带泥土；</w:t>
      </w:r>
    </w:p>
    <w:p w14:paraId="3EDEA5C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根菜类：萝卜、胡萝卜等；</w:t>
      </w:r>
    </w:p>
    <w:p w14:paraId="4412E0E6">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属同一品种规格，皮细光滑，肉质脆嫩致密新鲜，无腐烂、裂痕、糠心、异味，不带泥沙，不带茎叶和须根；</w:t>
      </w:r>
    </w:p>
    <w:p w14:paraId="226A3718">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薯芋类：马铃薯、芋、姜等；</w:t>
      </w:r>
    </w:p>
    <w:p w14:paraId="5AFAC840">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属同一品种规格，色泽一致，不带泥沙，不带须根、茎叶，不干瘪，无腐烂、异味、明显机械伤、病虫害斑，马铃薯无发芽，皮不变绿；</w:t>
      </w:r>
    </w:p>
    <w:p w14:paraId="573CAFA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葱蒜类：葱、蒜、韭菜、洋葱等；</w:t>
      </w:r>
    </w:p>
    <w:p w14:paraId="49AA1180">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属同一品种规格，允许葱、青蒜类保留干净须根，葱、蒜、韭菜不带老叶，蒜头、洋葱去根去枯叶，可食部分新鲜幼嫩，无腐烂、异味；</w:t>
      </w:r>
    </w:p>
    <w:p w14:paraId="364ADE62">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水生菜类：藕等；</w:t>
      </w:r>
    </w:p>
    <w:p w14:paraId="61B2311D">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属同一品种规格，肉质嫩，成熟度适中，无腐烂、异味，无明显机械伤，不带泥土和杂质，不干瘪，茭白不黑心；</w:t>
      </w:r>
    </w:p>
    <w:p w14:paraId="7202299B">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芽苗类：绿豆芽、黄豆芽等；</w:t>
      </w:r>
    </w:p>
    <w:p w14:paraId="4E0E97A1">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芽苗幼嫩，不带豆壳杂质，新鲜，不浸水，无腐烂、异味；</w:t>
      </w:r>
    </w:p>
    <w:p w14:paraId="1470FBBA">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香辛类：西芹、芹菜、香菜等；</w:t>
      </w:r>
    </w:p>
    <w:p w14:paraId="2944EBAA">
      <w:pPr>
        <w:tabs>
          <w:tab w:val="left" w:pos="709"/>
        </w:tabs>
        <w:adjustRightInd w:val="0"/>
        <w:snapToGrid w:val="0"/>
        <w:spacing w:line="360" w:lineRule="auto"/>
        <w:ind w:left="1134"/>
        <w:jc w:val="left"/>
        <w:rPr>
          <w:rFonts w:ascii="宋体" w:cs="Times New Roman"/>
          <w:color w:val="auto"/>
          <w:sz w:val="24"/>
          <w:szCs w:val="24"/>
        </w:rPr>
      </w:pPr>
      <w:r>
        <w:rPr>
          <w:rFonts w:hint="eastAsia" w:ascii="宋体" w:hAnsi="宋体" w:cs="宋体"/>
          <w:color w:val="auto"/>
          <w:sz w:val="24"/>
          <w:szCs w:val="24"/>
        </w:rPr>
        <w:t>属同一品种规格，肉质鲜嫩形态好，色泽正常，无枯黄叶、病叶、泥土、明显机械伤和病虫害伤，无烧心焦边、腐烂等现象，具有该品种应有的味道；</w:t>
      </w:r>
    </w:p>
    <w:p w14:paraId="6A2727AD">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符合国家食品卫生标准，蔬菜不得有黄叶，不得腐烂和泥沙等现象，水果大小均匀，无损伤，无皱褶变形，无腐烂变质，蔬菜利用率达</w:t>
      </w:r>
      <w:r>
        <w:rPr>
          <w:rFonts w:ascii="宋体" w:hAnsi="宋体" w:cs="宋体"/>
          <w:color w:val="auto"/>
          <w:sz w:val="24"/>
          <w:szCs w:val="24"/>
        </w:rPr>
        <w:t>98%</w:t>
      </w:r>
      <w:r>
        <w:rPr>
          <w:rFonts w:hint="eastAsia" w:ascii="宋体" w:hAnsi="宋体" w:cs="宋体"/>
          <w:color w:val="auto"/>
          <w:sz w:val="24"/>
          <w:szCs w:val="24"/>
        </w:rPr>
        <w:t>以上；</w:t>
      </w:r>
    </w:p>
    <w:p w14:paraId="1172F385">
      <w:pPr>
        <w:numPr>
          <w:ilvl w:val="0"/>
          <w:numId w:val="3"/>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蔬果质量必须符合国家省市食品质量和卫生安全标准和要求，品质必须是优质货品，不得含有残留农药或污染物，中标供应商必须保证所供应的蔬菜符合卫生质量标准，同时承担因所供蔬菜问题引起的一切事故后果。卫生质量指标，应符合我国无公害蔬菜上的卫生指标规定。</w:t>
      </w:r>
    </w:p>
    <w:tbl>
      <w:tblPr>
        <w:tblStyle w:val="8"/>
        <w:tblW w:w="86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3460"/>
        <w:gridCol w:w="5233"/>
      </w:tblGrid>
      <w:tr w14:paraId="50480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tcBorders>
              <w:top w:val="single" w:color="auto" w:sz="12" w:space="0"/>
            </w:tcBorders>
            <w:noWrap w:val="0"/>
            <w:vAlign w:val="center"/>
          </w:tcPr>
          <w:p w14:paraId="5B16EEDC">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项目</w:t>
            </w:r>
          </w:p>
        </w:tc>
        <w:tc>
          <w:tcPr>
            <w:tcW w:w="5233" w:type="dxa"/>
            <w:tcBorders>
              <w:top w:val="single" w:color="auto" w:sz="12" w:space="0"/>
            </w:tcBorders>
            <w:noWrap w:val="0"/>
            <w:vAlign w:val="center"/>
          </w:tcPr>
          <w:p w14:paraId="29CFD612">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指标（</w:t>
            </w:r>
            <w:r>
              <w:rPr>
                <w:rFonts w:hAnsi="宋体"/>
                <w:color w:val="auto"/>
                <w:kern w:val="2"/>
                <w:sz w:val="24"/>
                <w:szCs w:val="24"/>
              </w:rPr>
              <w:t>mg/kg</w:t>
            </w:r>
            <w:r>
              <w:rPr>
                <w:rFonts w:hint="eastAsia" w:hAnsi="宋体"/>
                <w:color w:val="auto"/>
                <w:kern w:val="2"/>
                <w:sz w:val="24"/>
                <w:szCs w:val="24"/>
              </w:rPr>
              <w:t>）</w:t>
            </w:r>
          </w:p>
        </w:tc>
      </w:tr>
      <w:tr w14:paraId="0C15A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32A11564">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甲胺磷</w:t>
            </w:r>
          </w:p>
        </w:tc>
        <w:tc>
          <w:tcPr>
            <w:tcW w:w="5233" w:type="dxa"/>
            <w:noWrap w:val="0"/>
            <w:vAlign w:val="center"/>
          </w:tcPr>
          <w:p w14:paraId="55D3C45A">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05081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41176C81">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甲拌磷</w:t>
            </w:r>
          </w:p>
        </w:tc>
        <w:tc>
          <w:tcPr>
            <w:tcW w:w="5233" w:type="dxa"/>
            <w:noWrap w:val="0"/>
            <w:vAlign w:val="center"/>
          </w:tcPr>
          <w:p w14:paraId="070EAA85">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578BB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4CF9EB8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氧化乐果</w:t>
            </w:r>
          </w:p>
        </w:tc>
        <w:tc>
          <w:tcPr>
            <w:tcW w:w="5233" w:type="dxa"/>
            <w:noWrap w:val="0"/>
            <w:vAlign w:val="center"/>
          </w:tcPr>
          <w:p w14:paraId="78048B06">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15A65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46C6A737">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甲基对硫磷</w:t>
            </w:r>
          </w:p>
        </w:tc>
        <w:tc>
          <w:tcPr>
            <w:tcW w:w="5233" w:type="dxa"/>
            <w:noWrap w:val="0"/>
            <w:vAlign w:val="center"/>
          </w:tcPr>
          <w:p w14:paraId="22B25E44">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0B0135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4ED4A273">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呋喃丹</w:t>
            </w:r>
          </w:p>
        </w:tc>
        <w:tc>
          <w:tcPr>
            <w:tcW w:w="5233" w:type="dxa"/>
            <w:noWrap w:val="0"/>
            <w:vAlign w:val="center"/>
          </w:tcPr>
          <w:p w14:paraId="17E056A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不得检出</w:t>
            </w:r>
          </w:p>
        </w:tc>
      </w:tr>
      <w:tr w14:paraId="03FF2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678AAF3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百菌清</w:t>
            </w:r>
          </w:p>
        </w:tc>
        <w:tc>
          <w:tcPr>
            <w:tcW w:w="5233" w:type="dxa"/>
            <w:noWrap w:val="0"/>
            <w:vAlign w:val="center"/>
          </w:tcPr>
          <w:p w14:paraId="12CA1238">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1.0</w:t>
            </w:r>
          </w:p>
        </w:tc>
      </w:tr>
      <w:tr w14:paraId="0273D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144B1E2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多菌灵</w:t>
            </w:r>
          </w:p>
        </w:tc>
        <w:tc>
          <w:tcPr>
            <w:tcW w:w="5233" w:type="dxa"/>
            <w:noWrap w:val="0"/>
            <w:vAlign w:val="center"/>
          </w:tcPr>
          <w:p w14:paraId="4259831A">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662CB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7F674E9E">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汞（以</w:t>
            </w:r>
            <w:r>
              <w:rPr>
                <w:rFonts w:hAnsi="宋体"/>
                <w:color w:val="auto"/>
                <w:kern w:val="2"/>
                <w:sz w:val="24"/>
                <w:szCs w:val="24"/>
              </w:rPr>
              <w:t>Hg</w:t>
            </w:r>
            <w:r>
              <w:rPr>
                <w:rFonts w:hint="eastAsia" w:hAnsi="宋体"/>
                <w:color w:val="auto"/>
                <w:kern w:val="2"/>
                <w:sz w:val="24"/>
                <w:szCs w:val="24"/>
              </w:rPr>
              <w:t>计）</w:t>
            </w:r>
          </w:p>
        </w:tc>
        <w:tc>
          <w:tcPr>
            <w:tcW w:w="5233" w:type="dxa"/>
            <w:noWrap w:val="0"/>
            <w:vAlign w:val="center"/>
          </w:tcPr>
          <w:p w14:paraId="773DC751">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0.01</w:t>
            </w:r>
          </w:p>
        </w:tc>
      </w:tr>
      <w:tr w14:paraId="33088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5960B162">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铅（以</w:t>
            </w:r>
            <w:r>
              <w:rPr>
                <w:rFonts w:hAnsi="宋体"/>
                <w:color w:val="auto"/>
                <w:kern w:val="2"/>
                <w:sz w:val="24"/>
                <w:szCs w:val="24"/>
              </w:rPr>
              <w:t>Pb</w:t>
            </w:r>
            <w:r>
              <w:rPr>
                <w:rFonts w:hint="eastAsia" w:hAnsi="宋体"/>
                <w:color w:val="auto"/>
                <w:kern w:val="2"/>
                <w:sz w:val="24"/>
                <w:szCs w:val="24"/>
              </w:rPr>
              <w:t>计）</w:t>
            </w:r>
          </w:p>
        </w:tc>
        <w:tc>
          <w:tcPr>
            <w:tcW w:w="5233" w:type="dxa"/>
            <w:noWrap w:val="0"/>
            <w:vAlign w:val="center"/>
          </w:tcPr>
          <w:p w14:paraId="239FF2ED">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0.2</w:t>
            </w:r>
          </w:p>
        </w:tc>
      </w:tr>
      <w:tr w14:paraId="69108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64A89328">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砷（以</w:t>
            </w:r>
            <w:r>
              <w:rPr>
                <w:rFonts w:hAnsi="宋体"/>
                <w:color w:val="auto"/>
                <w:kern w:val="2"/>
                <w:sz w:val="24"/>
                <w:szCs w:val="24"/>
              </w:rPr>
              <w:t>As</w:t>
            </w:r>
            <w:r>
              <w:rPr>
                <w:rFonts w:hint="eastAsia" w:hAnsi="宋体"/>
                <w:color w:val="auto"/>
                <w:kern w:val="2"/>
                <w:sz w:val="24"/>
                <w:szCs w:val="24"/>
              </w:rPr>
              <w:t>计）</w:t>
            </w:r>
          </w:p>
        </w:tc>
        <w:tc>
          <w:tcPr>
            <w:tcW w:w="5233" w:type="dxa"/>
            <w:noWrap w:val="0"/>
            <w:vAlign w:val="center"/>
          </w:tcPr>
          <w:p w14:paraId="31096EE2">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573F9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56" w:hRule="atLeast"/>
          <w:jc w:val="center"/>
        </w:trPr>
        <w:tc>
          <w:tcPr>
            <w:tcW w:w="3460" w:type="dxa"/>
            <w:noWrap w:val="0"/>
            <w:vAlign w:val="center"/>
          </w:tcPr>
          <w:p w14:paraId="78B711BF">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氟（以</w:t>
            </w:r>
            <w:r>
              <w:rPr>
                <w:rFonts w:hAnsi="宋体"/>
                <w:color w:val="auto"/>
                <w:kern w:val="2"/>
                <w:sz w:val="24"/>
                <w:szCs w:val="24"/>
              </w:rPr>
              <w:t>F</w:t>
            </w:r>
            <w:r>
              <w:rPr>
                <w:rFonts w:hint="eastAsia" w:hAnsi="宋体"/>
                <w:color w:val="auto"/>
                <w:kern w:val="2"/>
                <w:sz w:val="24"/>
                <w:szCs w:val="24"/>
              </w:rPr>
              <w:t>计）</w:t>
            </w:r>
          </w:p>
        </w:tc>
        <w:tc>
          <w:tcPr>
            <w:tcW w:w="5233" w:type="dxa"/>
            <w:noWrap w:val="0"/>
            <w:vAlign w:val="center"/>
          </w:tcPr>
          <w:p w14:paraId="4BDBC96D">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0.5</w:t>
            </w:r>
          </w:p>
        </w:tc>
      </w:tr>
      <w:tr w14:paraId="2938B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noWrap w:val="0"/>
            <w:vAlign w:val="center"/>
          </w:tcPr>
          <w:p w14:paraId="3C710EC2">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硝酸盐（以</w:t>
            </w:r>
            <w:r>
              <w:rPr>
                <w:rFonts w:hAnsi="宋体"/>
                <w:color w:val="auto"/>
                <w:kern w:val="2"/>
                <w:sz w:val="24"/>
                <w:szCs w:val="24"/>
              </w:rPr>
              <w:t>NaNO3</w:t>
            </w:r>
            <w:r>
              <w:rPr>
                <w:rFonts w:hint="eastAsia" w:hAnsi="宋体"/>
                <w:color w:val="auto"/>
                <w:kern w:val="2"/>
                <w:sz w:val="24"/>
                <w:szCs w:val="24"/>
              </w:rPr>
              <w:t>计）</w:t>
            </w:r>
          </w:p>
        </w:tc>
        <w:tc>
          <w:tcPr>
            <w:tcW w:w="5233" w:type="dxa"/>
            <w:noWrap w:val="0"/>
            <w:vAlign w:val="center"/>
          </w:tcPr>
          <w:p w14:paraId="632E041C">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瓜果类≤</w:t>
            </w:r>
            <w:r>
              <w:rPr>
                <w:rFonts w:hAnsi="宋体"/>
                <w:color w:val="auto"/>
                <w:kern w:val="2"/>
                <w:sz w:val="24"/>
                <w:szCs w:val="24"/>
              </w:rPr>
              <w:t>600</w:t>
            </w:r>
            <w:r>
              <w:rPr>
                <w:rFonts w:hint="eastAsia" w:hAnsi="宋体"/>
                <w:color w:val="auto"/>
                <w:kern w:val="2"/>
                <w:sz w:val="24"/>
                <w:szCs w:val="24"/>
              </w:rPr>
              <w:t>；叶菜根茎类≤</w:t>
            </w:r>
            <w:r>
              <w:rPr>
                <w:rFonts w:hAnsi="宋体"/>
                <w:color w:val="auto"/>
                <w:kern w:val="2"/>
                <w:sz w:val="24"/>
                <w:szCs w:val="24"/>
              </w:rPr>
              <w:t>1200</w:t>
            </w:r>
          </w:p>
        </w:tc>
      </w:tr>
      <w:tr w14:paraId="65D4E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9" w:hRule="atLeast"/>
          <w:jc w:val="center"/>
        </w:trPr>
        <w:tc>
          <w:tcPr>
            <w:tcW w:w="3460" w:type="dxa"/>
            <w:tcBorders>
              <w:bottom w:val="single" w:color="auto" w:sz="12" w:space="0"/>
            </w:tcBorders>
            <w:noWrap w:val="0"/>
            <w:vAlign w:val="center"/>
          </w:tcPr>
          <w:p w14:paraId="79CD3846">
            <w:pPr>
              <w:pStyle w:val="5"/>
              <w:tabs>
                <w:tab w:val="left" w:pos="2340"/>
              </w:tabs>
              <w:ind w:firstLine="422" w:firstLineChars="176"/>
              <w:jc w:val="center"/>
              <w:rPr>
                <w:rFonts w:hAnsi="宋体" w:cs="Times New Roman"/>
                <w:color w:val="auto"/>
                <w:kern w:val="2"/>
                <w:sz w:val="24"/>
                <w:szCs w:val="24"/>
              </w:rPr>
            </w:pPr>
            <w:r>
              <w:rPr>
                <w:rFonts w:hint="eastAsia" w:hAnsi="宋体"/>
                <w:color w:val="auto"/>
                <w:kern w:val="2"/>
                <w:sz w:val="24"/>
                <w:szCs w:val="24"/>
              </w:rPr>
              <w:t>亚硝酸盐（以</w:t>
            </w:r>
            <w:r>
              <w:rPr>
                <w:rFonts w:hAnsi="宋体"/>
                <w:color w:val="auto"/>
                <w:kern w:val="2"/>
                <w:sz w:val="24"/>
                <w:szCs w:val="24"/>
              </w:rPr>
              <w:t>NaNO2</w:t>
            </w:r>
            <w:r>
              <w:rPr>
                <w:rFonts w:hint="eastAsia" w:hAnsi="宋体"/>
                <w:color w:val="auto"/>
                <w:kern w:val="2"/>
                <w:sz w:val="24"/>
                <w:szCs w:val="24"/>
              </w:rPr>
              <w:t>计）</w:t>
            </w:r>
          </w:p>
        </w:tc>
        <w:tc>
          <w:tcPr>
            <w:tcW w:w="5233" w:type="dxa"/>
            <w:tcBorders>
              <w:bottom w:val="single" w:color="auto" w:sz="12" w:space="0"/>
            </w:tcBorders>
            <w:noWrap w:val="0"/>
            <w:vAlign w:val="center"/>
          </w:tcPr>
          <w:p w14:paraId="3C949808">
            <w:pPr>
              <w:pStyle w:val="5"/>
              <w:tabs>
                <w:tab w:val="left" w:pos="2340"/>
              </w:tabs>
              <w:ind w:firstLine="422" w:firstLineChars="176"/>
              <w:jc w:val="center"/>
              <w:rPr>
                <w:rFonts w:hAnsi="宋体"/>
                <w:color w:val="auto"/>
                <w:kern w:val="2"/>
                <w:sz w:val="24"/>
                <w:szCs w:val="24"/>
              </w:rPr>
            </w:pPr>
            <w:r>
              <w:rPr>
                <w:rFonts w:hint="eastAsia" w:hAnsi="宋体"/>
                <w:color w:val="auto"/>
                <w:kern w:val="2"/>
                <w:sz w:val="24"/>
                <w:szCs w:val="24"/>
              </w:rPr>
              <w:t>≤</w:t>
            </w:r>
            <w:r>
              <w:rPr>
                <w:rFonts w:hAnsi="宋体"/>
                <w:color w:val="auto"/>
                <w:kern w:val="2"/>
                <w:sz w:val="24"/>
                <w:szCs w:val="24"/>
              </w:rPr>
              <w:t>4</w:t>
            </w:r>
          </w:p>
        </w:tc>
      </w:tr>
    </w:tbl>
    <w:p w14:paraId="31DC194A">
      <w:pPr>
        <w:pStyle w:val="5"/>
        <w:adjustRightInd w:val="0"/>
        <w:snapToGrid w:val="0"/>
        <w:spacing w:line="360" w:lineRule="auto"/>
        <w:rPr>
          <w:rFonts w:hAnsi="宋体" w:cs="Times New Roman"/>
          <w:color w:val="auto"/>
          <w:sz w:val="24"/>
          <w:szCs w:val="24"/>
        </w:rPr>
      </w:pPr>
    </w:p>
    <w:p w14:paraId="24DBB60B">
      <w:pPr>
        <w:pStyle w:val="5"/>
        <w:adjustRightInd w:val="0"/>
        <w:snapToGrid w:val="0"/>
        <w:spacing w:line="360" w:lineRule="auto"/>
        <w:rPr>
          <w:rFonts w:hAnsi="宋体" w:cs="Times New Roman"/>
          <w:color w:val="auto"/>
          <w:sz w:val="24"/>
          <w:szCs w:val="24"/>
        </w:rPr>
      </w:pPr>
      <w:r>
        <w:rPr>
          <w:rFonts w:hint="eastAsia" w:hAnsi="宋体"/>
          <w:color w:val="auto"/>
          <w:sz w:val="24"/>
          <w:szCs w:val="24"/>
        </w:rPr>
        <w:t>（</w:t>
      </w:r>
      <w:r>
        <w:rPr>
          <w:rFonts w:hAnsi="宋体"/>
          <w:color w:val="auto"/>
          <w:sz w:val="24"/>
          <w:szCs w:val="24"/>
        </w:rPr>
        <w:t>17</w:t>
      </w:r>
      <w:r>
        <w:rPr>
          <w:rFonts w:hint="eastAsia" w:hAnsi="宋体"/>
          <w:color w:val="auto"/>
          <w:sz w:val="24"/>
          <w:szCs w:val="24"/>
        </w:rPr>
        <w:t>）中标人不定期对所提供所蔬菜的农药残留检测报告，提供农业部门认定的机构出具的检验合格证明。（每月不得少于2次）</w:t>
      </w:r>
    </w:p>
    <w:p w14:paraId="2775048C">
      <w:pPr>
        <w:pStyle w:val="5"/>
        <w:adjustRightInd w:val="0"/>
        <w:snapToGrid w:val="0"/>
        <w:spacing w:line="360" w:lineRule="auto"/>
        <w:rPr>
          <w:rFonts w:hAnsi="宋体" w:cs="Times New Roman"/>
          <w:b/>
          <w:bCs/>
          <w:color w:val="auto"/>
          <w:sz w:val="24"/>
          <w:szCs w:val="24"/>
        </w:rPr>
      </w:pPr>
      <w:r>
        <w:rPr>
          <w:rFonts w:hAnsi="宋体"/>
          <w:b/>
          <w:bCs/>
          <w:color w:val="auto"/>
          <w:sz w:val="24"/>
          <w:szCs w:val="24"/>
        </w:rPr>
        <w:t>1.2.</w:t>
      </w:r>
      <w:r>
        <w:rPr>
          <w:rFonts w:hint="eastAsia" w:hAnsi="宋体"/>
          <w:b/>
          <w:bCs/>
          <w:color w:val="auto"/>
          <w:sz w:val="24"/>
          <w:szCs w:val="24"/>
        </w:rPr>
        <w:t>水产类</w:t>
      </w:r>
      <w:r>
        <w:rPr>
          <w:rFonts w:hint="eastAsia" w:hAnsi="宋体"/>
          <w:color w:val="auto"/>
          <w:sz w:val="24"/>
          <w:szCs w:val="24"/>
        </w:rPr>
        <w:t>（含海产品、淡水鱼类产品）</w:t>
      </w:r>
      <w:r>
        <w:rPr>
          <w:rFonts w:hint="eastAsia" w:hAnsi="宋体"/>
          <w:b/>
          <w:bCs/>
          <w:color w:val="auto"/>
          <w:sz w:val="24"/>
          <w:szCs w:val="24"/>
        </w:rPr>
        <w:t>的供货要求（包括但不限于以下内容）</w:t>
      </w:r>
    </w:p>
    <w:p w14:paraId="47B335A6">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鲜鱼鳞片完整，有光泽无脱落，鳃口紧闭，眼球光亮透明，鱼鳃鲜红，鳍尾完整，确保皮肤天然色泽明显。</w:t>
      </w:r>
    </w:p>
    <w:p w14:paraId="032AA5A4">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鱼体饱满结实、新鲜，无腐烂异味，肉质紧密有弹性，无离骨脱刺现象。</w:t>
      </w:r>
    </w:p>
    <w:p w14:paraId="5CC5EBB1">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鲜鱼类来源可靠（可提供合法的供货途径）放心，无毒、无害、无污染（利用率不低于</w:t>
      </w:r>
      <w:r>
        <w:rPr>
          <w:rFonts w:hAnsi="宋体"/>
          <w:color w:val="auto"/>
          <w:sz w:val="24"/>
          <w:szCs w:val="24"/>
        </w:rPr>
        <w:t>95%</w:t>
      </w:r>
      <w:r>
        <w:rPr>
          <w:rFonts w:hint="eastAsia" w:hAnsi="宋体"/>
          <w:color w:val="auto"/>
          <w:sz w:val="24"/>
          <w:szCs w:val="24"/>
        </w:rPr>
        <w:t>）。</w:t>
      </w:r>
    </w:p>
    <w:p w14:paraId="214BE798">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鲜活类要求游动活泼，鱼体健康，体态匀称，体色鲜明，体表光滑，眼睛亮丽，鳞片鳍条完好。</w:t>
      </w:r>
    </w:p>
    <w:p w14:paraId="702B666A">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生产（供应）企业的资质证明：</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7270"/>
      </w:tblGrid>
      <w:tr w14:paraId="2585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30" w:type="dxa"/>
            <w:noWrap w:val="0"/>
            <w:vAlign w:val="center"/>
          </w:tcPr>
          <w:p w14:paraId="039E2A44">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7270" w:type="dxa"/>
            <w:noWrap w:val="0"/>
            <w:vAlign w:val="center"/>
          </w:tcPr>
          <w:p w14:paraId="7DC0F947">
            <w:pPr>
              <w:jc w:val="center"/>
              <w:rPr>
                <w:rFonts w:ascii="宋体" w:cs="Times New Roman"/>
                <w:b/>
                <w:bCs/>
                <w:color w:val="auto"/>
                <w:sz w:val="24"/>
                <w:szCs w:val="24"/>
              </w:rPr>
            </w:pPr>
            <w:r>
              <w:rPr>
                <w:rFonts w:hint="eastAsia" w:ascii="宋体" w:hAnsi="宋体" w:cs="宋体"/>
                <w:b/>
                <w:bCs/>
                <w:color w:val="auto"/>
                <w:sz w:val="24"/>
                <w:szCs w:val="24"/>
              </w:rPr>
              <w:t>资质证明</w:t>
            </w:r>
          </w:p>
        </w:tc>
      </w:tr>
      <w:tr w14:paraId="5DC6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130" w:type="dxa"/>
            <w:noWrap w:val="0"/>
            <w:vAlign w:val="center"/>
          </w:tcPr>
          <w:p w14:paraId="0F3A5A4D">
            <w:pPr>
              <w:jc w:val="center"/>
              <w:rPr>
                <w:rFonts w:ascii="宋体" w:cs="Times New Roman"/>
                <w:color w:val="auto"/>
                <w:sz w:val="24"/>
                <w:szCs w:val="24"/>
              </w:rPr>
            </w:pPr>
            <w:r>
              <w:rPr>
                <w:rFonts w:hint="eastAsia" w:ascii="宋体" w:hAnsi="宋体" w:cs="宋体"/>
                <w:color w:val="auto"/>
                <w:sz w:val="24"/>
                <w:szCs w:val="24"/>
              </w:rPr>
              <w:t>水产品（含海产品、淡水鱼类产品）</w:t>
            </w:r>
          </w:p>
        </w:tc>
        <w:tc>
          <w:tcPr>
            <w:tcW w:w="7270" w:type="dxa"/>
            <w:noWrap w:val="0"/>
            <w:vAlign w:val="center"/>
          </w:tcPr>
          <w:p w14:paraId="546158BF">
            <w:pPr>
              <w:rPr>
                <w:rFonts w:ascii="宋体" w:cs="Times New Roman"/>
                <w:color w:val="auto"/>
                <w:sz w:val="24"/>
                <w:szCs w:val="24"/>
              </w:rPr>
            </w:pPr>
            <w:r>
              <w:rPr>
                <w:rFonts w:hint="eastAsia" w:ascii="宋体" w:hAnsi="宋体" w:cs="宋体"/>
                <w:color w:val="auto"/>
                <w:sz w:val="24"/>
                <w:szCs w:val="24"/>
              </w:rPr>
              <w:t>《企业法人营业执照》、《食品经营许可证》或《食品生产许可证》或《全国工业产品生产许可证》</w:t>
            </w:r>
          </w:p>
        </w:tc>
      </w:tr>
    </w:tbl>
    <w:p w14:paraId="74B6F89E">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产品票证要求：</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508"/>
        <w:gridCol w:w="4792"/>
      </w:tblGrid>
      <w:tr w14:paraId="1E55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100" w:type="dxa"/>
            <w:noWrap w:val="0"/>
            <w:vAlign w:val="center"/>
          </w:tcPr>
          <w:p w14:paraId="19E1A847">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3508" w:type="dxa"/>
            <w:noWrap w:val="0"/>
            <w:vAlign w:val="center"/>
          </w:tcPr>
          <w:p w14:paraId="179FB8F5">
            <w:pPr>
              <w:jc w:val="center"/>
              <w:rPr>
                <w:rFonts w:ascii="宋体" w:cs="Times New Roman"/>
                <w:b/>
                <w:bCs/>
                <w:color w:val="auto"/>
                <w:sz w:val="24"/>
                <w:szCs w:val="24"/>
              </w:rPr>
            </w:pPr>
            <w:r>
              <w:rPr>
                <w:rFonts w:hint="eastAsia" w:ascii="宋体" w:hAnsi="宋体" w:cs="宋体"/>
                <w:b/>
                <w:bCs/>
                <w:color w:val="auto"/>
                <w:sz w:val="24"/>
                <w:szCs w:val="24"/>
              </w:rPr>
              <w:t>产品资质名称</w:t>
            </w:r>
          </w:p>
        </w:tc>
        <w:tc>
          <w:tcPr>
            <w:tcW w:w="4792" w:type="dxa"/>
            <w:noWrap w:val="0"/>
            <w:vAlign w:val="center"/>
          </w:tcPr>
          <w:p w14:paraId="10E418ED">
            <w:pPr>
              <w:jc w:val="center"/>
              <w:rPr>
                <w:rFonts w:ascii="宋体" w:cs="Times New Roman"/>
                <w:b/>
                <w:bCs/>
                <w:color w:val="auto"/>
                <w:sz w:val="24"/>
                <w:szCs w:val="24"/>
              </w:rPr>
            </w:pPr>
            <w:r>
              <w:rPr>
                <w:rFonts w:hint="eastAsia" w:ascii="宋体" w:hAnsi="宋体" w:cs="宋体"/>
                <w:b/>
                <w:bCs/>
                <w:color w:val="auto"/>
                <w:sz w:val="24"/>
                <w:szCs w:val="24"/>
              </w:rPr>
              <w:t>验收索证要求</w:t>
            </w:r>
          </w:p>
        </w:tc>
      </w:tr>
      <w:tr w14:paraId="6FA1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100" w:type="dxa"/>
            <w:noWrap w:val="0"/>
            <w:vAlign w:val="center"/>
          </w:tcPr>
          <w:p w14:paraId="0D27E090">
            <w:pPr>
              <w:jc w:val="center"/>
              <w:rPr>
                <w:rFonts w:ascii="宋体" w:cs="Times New Roman"/>
                <w:color w:val="auto"/>
                <w:sz w:val="24"/>
                <w:szCs w:val="24"/>
              </w:rPr>
            </w:pPr>
            <w:r>
              <w:rPr>
                <w:rFonts w:hint="eastAsia" w:ascii="宋体" w:hAnsi="宋体" w:cs="宋体"/>
                <w:color w:val="auto"/>
                <w:sz w:val="24"/>
                <w:szCs w:val="24"/>
              </w:rPr>
              <w:t>水产品</w:t>
            </w:r>
          </w:p>
        </w:tc>
        <w:tc>
          <w:tcPr>
            <w:tcW w:w="3508" w:type="dxa"/>
            <w:noWrap w:val="0"/>
            <w:vAlign w:val="center"/>
          </w:tcPr>
          <w:p w14:paraId="21A1DC49">
            <w:pPr>
              <w:rPr>
                <w:rFonts w:ascii="宋体" w:cs="Times New Roman"/>
                <w:color w:val="auto"/>
                <w:sz w:val="24"/>
                <w:szCs w:val="24"/>
              </w:rPr>
            </w:pPr>
            <w:r>
              <w:rPr>
                <w:rFonts w:hint="eastAsia" w:ascii="宋体" w:hAnsi="宋体" w:cs="宋体"/>
                <w:color w:val="auto"/>
                <w:sz w:val="24"/>
                <w:szCs w:val="24"/>
              </w:rPr>
              <w:t>贮存地的出入库检疫证明，水产品成型标准为个体单独冷冻成型。</w:t>
            </w:r>
          </w:p>
        </w:tc>
        <w:tc>
          <w:tcPr>
            <w:tcW w:w="4792" w:type="dxa"/>
            <w:noWrap w:val="0"/>
            <w:vAlign w:val="center"/>
          </w:tcPr>
          <w:p w14:paraId="459BA191">
            <w:pPr>
              <w:rPr>
                <w:rFonts w:ascii="宋体" w:cs="Times New Roman"/>
                <w:color w:val="auto"/>
                <w:sz w:val="24"/>
                <w:szCs w:val="24"/>
              </w:rPr>
            </w:pPr>
            <w:r>
              <w:rPr>
                <w:rFonts w:hint="eastAsia" w:ascii="宋体" w:hAnsi="宋体" w:cs="宋体"/>
                <w:color w:val="auto"/>
                <w:sz w:val="24"/>
                <w:szCs w:val="24"/>
              </w:rPr>
              <w:t>交货时提供本批次产品的出厂（库）检验合格证明。</w:t>
            </w:r>
          </w:p>
        </w:tc>
      </w:tr>
    </w:tbl>
    <w:p w14:paraId="2DD04DA4">
      <w:pPr>
        <w:pStyle w:val="5"/>
        <w:numPr>
          <w:ilvl w:val="0"/>
          <w:numId w:val="4"/>
        </w:numPr>
        <w:adjustRightInd w:val="0"/>
        <w:snapToGrid w:val="0"/>
        <w:spacing w:line="360" w:lineRule="auto"/>
        <w:rPr>
          <w:rFonts w:hAnsi="宋体" w:cs="Times New Roman"/>
          <w:color w:val="auto"/>
          <w:sz w:val="24"/>
          <w:szCs w:val="24"/>
        </w:rPr>
      </w:pPr>
      <w:r>
        <w:rPr>
          <w:rFonts w:hint="eastAsia" w:hAnsi="宋体"/>
          <w:color w:val="auto"/>
          <w:sz w:val="24"/>
          <w:szCs w:val="24"/>
        </w:rPr>
        <w:t>水产品每次交货时提供本批次产品的出厂（库）检验合格证明（随车同行以及《贮存地的出入库检疫证明》。</w:t>
      </w:r>
    </w:p>
    <w:p w14:paraId="6C9FE378">
      <w:pPr>
        <w:pStyle w:val="5"/>
        <w:tabs>
          <w:tab w:val="left" w:pos="567"/>
        </w:tabs>
        <w:adjustRightInd w:val="0"/>
        <w:snapToGrid w:val="0"/>
        <w:spacing w:line="360" w:lineRule="auto"/>
        <w:rPr>
          <w:rFonts w:hAnsi="宋体" w:cs="Times New Roman"/>
          <w:b/>
          <w:bCs/>
          <w:color w:val="auto"/>
          <w:sz w:val="24"/>
          <w:szCs w:val="24"/>
        </w:rPr>
      </w:pPr>
      <w:r>
        <w:rPr>
          <w:rFonts w:hAnsi="宋体"/>
          <w:b/>
          <w:bCs/>
          <w:color w:val="auto"/>
          <w:sz w:val="24"/>
          <w:szCs w:val="24"/>
        </w:rPr>
        <w:t>1.3.</w:t>
      </w:r>
      <w:r>
        <w:rPr>
          <w:rFonts w:hint="eastAsia" w:hAnsi="宋体"/>
          <w:b/>
          <w:bCs/>
          <w:color w:val="auto"/>
          <w:sz w:val="24"/>
          <w:szCs w:val="24"/>
        </w:rPr>
        <w:t>肉类主要商品供货要求（包括但不限于以下内容）</w:t>
      </w:r>
    </w:p>
    <w:p w14:paraId="43189015">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所有肉类必须符合国家有关标准，保证无异味、无霉烂变质。</w:t>
      </w:r>
    </w:p>
    <w:p w14:paraId="5B5444E7">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每次交货时提供本批次产品的出厂（库）检验合格证明（随车同行）：《出县境动物产品检疫合格证》、《产品合格证》、《卫生检疫报告》等相关证明。</w:t>
      </w:r>
    </w:p>
    <w:p w14:paraId="572BB998">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（鲜肉类）应外观检测新鲜肉质柔软有光泽、无腐臭变质异味、无寄生虫、无粘液、无渗出液体，全部来源于正规肉联厂，保证为当日新鲜肉，并提供政府检疫部门出示的检疫合格证明（利用率不低于</w:t>
      </w:r>
      <w:r>
        <w:rPr>
          <w:rFonts w:hAnsi="宋体"/>
          <w:color w:val="auto"/>
          <w:sz w:val="24"/>
          <w:szCs w:val="24"/>
        </w:rPr>
        <w:t>98%</w:t>
      </w:r>
      <w:r>
        <w:rPr>
          <w:rFonts w:hint="eastAsia" w:hAnsi="宋体"/>
          <w:color w:val="auto"/>
          <w:sz w:val="24"/>
          <w:szCs w:val="24"/>
        </w:rPr>
        <w:t>）。具体要求色泽：肌肉有光泽，红色均匀，脂肪乳白色肌肉有光泽，红色或稍暗，脂肪白色。组织状态：纤维清晰，有坚韧性，指压后凹陷立即恢复，肉质紧密，有坚韧性。粘度：外表湿润</w:t>
      </w:r>
      <w:r>
        <w:rPr>
          <w:rFonts w:hAnsi="宋体"/>
          <w:color w:val="auto"/>
          <w:sz w:val="24"/>
          <w:szCs w:val="24"/>
        </w:rPr>
        <w:t>,</w:t>
      </w:r>
      <w:r>
        <w:rPr>
          <w:rFonts w:hint="eastAsia" w:hAnsi="宋体"/>
          <w:color w:val="auto"/>
          <w:sz w:val="24"/>
          <w:szCs w:val="24"/>
        </w:rPr>
        <w:t>不粘手</w:t>
      </w:r>
      <w:r>
        <w:rPr>
          <w:rFonts w:hAnsi="宋体"/>
          <w:color w:val="auto"/>
          <w:sz w:val="24"/>
          <w:szCs w:val="24"/>
        </w:rPr>
        <w:t xml:space="preserve"> </w:t>
      </w:r>
      <w:r>
        <w:rPr>
          <w:rFonts w:hint="eastAsia" w:hAnsi="宋体"/>
          <w:color w:val="auto"/>
          <w:sz w:val="24"/>
          <w:szCs w:val="24"/>
        </w:rPr>
        <w:t>外表湿润</w:t>
      </w:r>
      <w:r>
        <w:rPr>
          <w:rFonts w:hAnsi="宋体"/>
          <w:color w:val="auto"/>
          <w:sz w:val="24"/>
          <w:szCs w:val="24"/>
        </w:rPr>
        <w:t>,</w:t>
      </w:r>
      <w:r>
        <w:rPr>
          <w:rFonts w:hint="eastAsia" w:hAnsi="宋体"/>
          <w:color w:val="auto"/>
          <w:sz w:val="24"/>
          <w:szCs w:val="24"/>
        </w:rPr>
        <w:t>切面有渗出液</w:t>
      </w:r>
      <w:r>
        <w:rPr>
          <w:rFonts w:hAnsi="宋体"/>
          <w:color w:val="auto"/>
          <w:sz w:val="24"/>
          <w:szCs w:val="24"/>
        </w:rPr>
        <w:t>,</w:t>
      </w:r>
      <w:r>
        <w:rPr>
          <w:rFonts w:hint="eastAsia" w:hAnsi="宋体"/>
          <w:color w:val="auto"/>
          <w:sz w:val="24"/>
          <w:szCs w:val="24"/>
        </w:rPr>
        <w:t>不粘手。气味：具有鲜猪肉固有的气味，无异味，煮沸后肉汤澄清透明，脂肪团聚于表面澄清透明或稍有浑浊，脂肪团聚于表面。</w:t>
      </w:r>
    </w:p>
    <w:p w14:paraId="6B9B30B5">
      <w:pPr>
        <w:pStyle w:val="5"/>
        <w:numPr>
          <w:ilvl w:val="0"/>
          <w:numId w:val="5"/>
        </w:numPr>
        <w:adjustRightInd w:val="0"/>
        <w:snapToGrid w:val="0"/>
        <w:spacing w:line="360" w:lineRule="auto"/>
        <w:rPr>
          <w:rFonts w:hAnsi="宋体" w:cs="Times New Roman"/>
          <w:color w:val="auto"/>
          <w:sz w:val="24"/>
          <w:szCs w:val="24"/>
        </w:rPr>
      </w:pPr>
      <w:r>
        <w:rPr>
          <w:rFonts w:hAnsi="宋体"/>
          <w:color w:val="auto"/>
          <w:sz w:val="24"/>
          <w:szCs w:val="24"/>
        </w:rPr>
        <w:t xml:space="preserve"> </w:t>
      </w:r>
      <w:r>
        <w:rPr>
          <w:rFonts w:hint="eastAsia" w:hAnsi="宋体"/>
          <w:color w:val="auto"/>
          <w:sz w:val="24"/>
          <w:szCs w:val="24"/>
        </w:rPr>
        <w:t>（冷冻肉）包装应清洁、卫生，无破漏。标明产品名称、净含量、生产者名称和地址、生产日期、保质期、主要原料成份和产品标准号等内容，注明不详或没有注明的商品不予验收；剩余保存期不少于保质期的三分之二。产品中间不能有过多冰块，产品净重量必须和包装箱表明的重量一致。</w:t>
      </w:r>
    </w:p>
    <w:p w14:paraId="2F881839">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对所有肉类、食品的品质要求，必须符合国家，食品部门的有关标准和下列要求：</w:t>
      </w:r>
    </w:p>
    <w:tbl>
      <w:tblPr>
        <w:tblStyle w:val="8"/>
        <w:tblW w:w="899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8"/>
        <w:gridCol w:w="1336"/>
        <w:gridCol w:w="6923"/>
      </w:tblGrid>
      <w:tr w14:paraId="15A1417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tblHeader/>
          <w:jc w:val="center"/>
        </w:trPr>
        <w:tc>
          <w:tcPr>
            <w:tcW w:w="738" w:type="dxa"/>
            <w:tcBorders>
              <w:top w:val="single" w:color="auto" w:sz="12" w:space="0"/>
            </w:tcBorders>
            <w:noWrap w:val="0"/>
            <w:vAlign w:val="center"/>
          </w:tcPr>
          <w:p w14:paraId="5F99DCC5">
            <w:pPr>
              <w:jc w:val="center"/>
              <w:rPr>
                <w:rFonts w:ascii="宋体" w:cs="Times New Roman"/>
                <w:color w:val="auto"/>
                <w:sz w:val="24"/>
                <w:szCs w:val="24"/>
              </w:rPr>
            </w:pPr>
            <w:r>
              <w:rPr>
                <w:rFonts w:hint="eastAsia" w:ascii="宋体" w:hAnsi="宋体" w:cs="宋体"/>
                <w:color w:val="auto"/>
                <w:sz w:val="24"/>
                <w:szCs w:val="24"/>
              </w:rPr>
              <w:t>序号</w:t>
            </w:r>
          </w:p>
        </w:tc>
        <w:tc>
          <w:tcPr>
            <w:tcW w:w="1336" w:type="dxa"/>
            <w:tcBorders>
              <w:top w:val="single" w:color="auto" w:sz="12" w:space="0"/>
            </w:tcBorders>
            <w:noWrap w:val="0"/>
            <w:vAlign w:val="center"/>
          </w:tcPr>
          <w:p w14:paraId="4F874E55">
            <w:pPr>
              <w:jc w:val="center"/>
              <w:rPr>
                <w:rFonts w:ascii="宋体" w:cs="Times New Roman"/>
                <w:color w:val="auto"/>
                <w:sz w:val="24"/>
                <w:szCs w:val="24"/>
              </w:rPr>
            </w:pPr>
            <w:r>
              <w:rPr>
                <w:rFonts w:hint="eastAsia" w:ascii="宋体" w:hAnsi="宋体" w:cs="宋体"/>
                <w:color w:val="auto"/>
                <w:sz w:val="24"/>
                <w:szCs w:val="24"/>
              </w:rPr>
              <w:t>品名</w:t>
            </w:r>
          </w:p>
        </w:tc>
        <w:tc>
          <w:tcPr>
            <w:tcW w:w="6923" w:type="dxa"/>
            <w:tcBorders>
              <w:top w:val="single" w:color="auto" w:sz="12" w:space="0"/>
            </w:tcBorders>
            <w:noWrap w:val="0"/>
            <w:vAlign w:val="center"/>
          </w:tcPr>
          <w:p w14:paraId="575291FB">
            <w:pPr>
              <w:jc w:val="center"/>
              <w:rPr>
                <w:rFonts w:ascii="宋体" w:cs="Times New Roman"/>
                <w:color w:val="auto"/>
                <w:sz w:val="24"/>
                <w:szCs w:val="24"/>
              </w:rPr>
            </w:pPr>
            <w:r>
              <w:rPr>
                <w:rFonts w:hint="eastAsia" w:ascii="宋体" w:hAnsi="宋体" w:cs="宋体"/>
                <w:color w:val="auto"/>
                <w:sz w:val="24"/>
                <w:szCs w:val="24"/>
              </w:rPr>
              <w:t>质量要求</w:t>
            </w:r>
          </w:p>
        </w:tc>
      </w:tr>
      <w:tr w14:paraId="3E92349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B58806D">
            <w:pPr>
              <w:jc w:val="center"/>
              <w:rPr>
                <w:rFonts w:ascii="宋体" w:cs="Times New Roman"/>
                <w:color w:val="auto"/>
                <w:sz w:val="24"/>
                <w:szCs w:val="24"/>
              </w:rPr>
            </w:pPr>
            <w:r>
              <w:rPr>
                <w:rFonts w:ascii="宋体" w:hAnsi="宋体" w:cs="宋体"/>
                <w:color w:val="auto"/>
                <w:sz w:val="24"/>
                <w:szCs w:val="24"/>
              </w:rPr>
              <w:t>1</w:t>
            </w:r>
          </w:p>
        </w:tc>
        <w:tc>
          <w:tcPr>
            <w:tcW w:w="1336" w:type="dxa"/>
            <w:noWrap w:val="0"/>
            <w:vAlign w:val="center"/>
          </w:tcPr>
          <w:p w14:paraId="35AA180A">
            <w:pPr>
              <w:rPr>
                <w:rFonts w:ascii="宋体" w:cs="Times New Roman"/>
                <w:color w:val="auto"/>
                <w:sz w:val="24"/>
                <w:szCs w:val="24"/>
              </w:rPr>
            </w:pPr>
            <w:r>
              <w:rPr>
                <w:rFonts w:hint="eastAsia" w:ascii="宋体" w:hAnsi="宋体" w:cs="宋体"/>
                <w:color w:val="auto"/>
                <w:sz w:val="24"/>
                <w:szCs w:val="24"/>
              </w:rPr>
              <w:t>去皮五花肉</w:t>
            </w:r>
          </w:p>
        </w:tc>
        <w:tc>
          <w:tcPr>
            <w:tcW w:w="6923" w:type="dxa"/>
            <w:noWrap w:val="0"/>
            <w:vAlign w:val="center"/>
          </w:tcPr>
          <w:p w14:paraId="6F0FA870">
            <w:pPr>
              <w:rPr>
                <w:rFonts w:ascii="宋体" w:cs="Times New Roman"/>
                <w:color w:val="auto"/>
                <w:sz w:val="24"/>
                <w:szCs w:val="24"/>
              </w:rPr>
            </w:pPr>
            <w:r>
              <w:rPr>
                <w:rFonts w:hint="eastAsia" w:ascii="宋体" w:hAnsi="宋体" w:cs="宋体"/>
                <w:color w:val="auto"/>
                <w:sz w:val="24"/>
                <w:szCs w:val="24"/>
              </w:rPr>
              <w:t>肥和瘦比例不大于</w:t>
            </w:r>
            <w:r>
              <w:rPr>
                <w:rFonts w:ascii="宋体" w:hAnsi="宋体" w:cs="宋体"/>
                <w:color w:val="auto"/>
                <w:sz w:val="24"/>
                <w:szCs w:val="24"/>
              </w:rPr>
              <w:t>1</w:t>
            </w: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，肉呈均匀的红色，有光泽，肉质紧密，有坚实感；肉的外表及切面微湿润，不粘手，脂肪洁白。</w:t>
            </w:r>
          </w:p>
        </w:tc>
      </w:tr>
      <w:tr w14:paraId="3607F3D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2BFBC9B">
            <w:pPr>
              <w:jc w:val="center"/>
              <w:rPr>
                <w:rFonts w:ascii="宋体" w:cs="Times New Roman"/>
                <w:color w:val="auto"/>
                <w:sz w:val="24"/>
                <w:szCs w:val="24"/>
              </w:rPr>
            </w:pPr>
            <w:r>
              <w:rPr>
                <w:rFonts w:ascii="宋体" w:hAnsi="宋体" w:cs="宋体"/>
                <w:color w:val="auto"/>
                <w:sz w:val="24"/>
                <w:szCs w:val="24"/>
              </w:rPr>
              <w:t>2</w:t>
            </w:r>
          </w:p>
        </w:tc>
        <w:tc>
          <w:tcPr>
            <w:tcW w:w="1336" w:type="dxa"/>
            <w:noWrap w:val="0"/>
            <w:vAlign w:val="center"/>
          </w:tcPr>
          <w:p w14:paraId="4BA0EC96">
            <w:pPr>
              <w:ind w:firstLine="240" w:firstLineChars="100"/>
              <w:rPr>
                <w:rFonts w:ascii="宋体" w:cs="Times New Roman"/>
                <w:color w:val="auto"/>
                <w:sz w:val="24"/>
                <w:szCs w:val="24"/>
              </w:rPr>
            </w:pPr>
            <w:r>
              <w:rPr>
                <w:rFonts w:hint="eastAsia" w:ascii="宋体" w:hAnsi="宋体" w:cs="宋体"/>
                <w:color w:val="auto"/>
                <w:sz w:val="24"/>
                <w:szCs w:val="24"/>
              </w:rPr>
              <w:t>边鸡</w:t>
            </w:r>
          </w:p>
        </w:tc>
        <w:tc>
          <w:tcPr>
            <w:tcW w:w="6923" w:type="dxa"/>
            <w:noWrap w:val="0"/>
            <w:vAlign w:val="center"/>
          </w:tcPr>
          <w:p w14:paraId="571F9113">
            <w:pPr>
              <w:rPr>
                <w:rFonts w:ascii="宋体" w:cs="Times New Roman"/>
                <w:color w:val="auto"/>
                <w:sz w:val="24"/>
                <w:szCs w:val="24"/>
              </w:rPr>
            </w:pPr>
            <w:r>
              <w:rPr>
                <w:rFonts w:hint="eastAsia" w:ascii="宋体" w:hAnsi="宋体" w:cs="宋体"/>
                <w:color w:val="auto"/>
                <w:sz w:val="24"/>
                <w:szCs w:val="24"/>
              </w:rPr>
              <w:t>整鸡表皮光滑，新鲜肥嫩，无头，无颈，无内脏，每只不低于</w:t>
            </w:r>
            <w:r>
              <w:rPr>
                <w:rFonts w:ascii="宋体" w:hAnsi="宋体" w:cs="宋体"/>
                <w:color w:val="auto"/>
                <w:sz w:val="24"/>
                <w:szCs w:val="24"/>
              </w:rPr>
              <w:t>0.5</w:t>
            </w:r>
            <w:r>
              <w:rPr>
                <w:rFonts w:hint="eastAsia" w:ascii="宋体" w:hAnsi="宋体" w:cs="宋体"/>
                <w:color w:val="auto"/>
                <w:sz w:val="24"/>
                <w:szCs w:val="24"/>
              </w:rPr>
              <w:t>公斤，鸡肉的眼球饱满或平坦，皮肤有光泽，在品种不同而呈黄、浅黄、淡红、灰白等色，肌肉切面有光泽，外表微湿润，不粘手。解冻指压后的凹陷恢复慢，且不能完全恢复，具有鸡的正常气味。</w:t>
            </w:r>
            <w:r>
              <w:rPr>
                <w:rFonts w:ascii="宋体" w:hAnsi="宋体" w:cs="宋体"/>
                <w:color w:val="auto"/>
                <w:sz w:val="24"/>
                <w:szCs w:val="24"/>
              </w:rPr>
              <w:t xml:space="preserve"> </w:t>
            </w:r>
          </w:p>
        </w:tc>
      </w:tr>
      <w:tr w14:paraId="366218A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260677DE">
            <w:pPr>
              <w:jc w:val="center"/>
              <w:rPr>
                <w:rFonts w:ascii="宋体" w:cs="Times New Roman"/>
                <w:color w:val="auto"/>
                <w:sz w:val="24"/>
                <w:szCs w:val="24"/>
              </w:rPr>
            </w:pPr>
            <w:r>
              <w:rPr>
                <w:rFonts w:ascii="宋体" w:hAnsi="宋体" w:cs="宋体"/>
                <w:color w:val="auto"/>
                <w:sz w:val="24"/>
                <w:szCs w:val="24"/>
              </w:rPr>
              <w:t>3</w:t>
            </w:r>
          </w:p>
        </w:tc>
        <w:tc>
          <w:tcPr>
            <w:tcW w:w="1336" w:type="dxa"/>
            <w:noWrap w:val="0"/>
            <w:vAlign w:val="center"/>
          </w:tcPr>
          <w:p w14:paraId="50C187A7">
            <w:pPr>
              <w:jc w:val="center"/>
              <w:rPr>
                <w:rFonts w:ascii="宋体" w:cs="Times New Roman"/>
                <w:color w:val="auto"/>
                <w:sz w:val="24"/>
                <w:szCs w:val="24"/>
              </w:rPr>
            </w:pPr>
            <w:r>
              <w:rPr>
                <w:rFonts w:hint="eastAsia" w:ascii="宋体" w:hAnsi="宋体" w:cs="宋体"/>
                <w:color w:val="auto"/>
                <w:sz w:val="24"/>
                <w:szCs w:val="24"/>
              </w:rPr>
              <w:t>光鸭</w:t>
            </w:r>
          </w:p>
        </w:tc>
        <w:tc>
          <w:tcPr>
            <w:tcW w:w="6923" w:type="dxa"/>
            <w:noWrap w:val="0"/>
            <w:vAlign w:val="center"/>
          </w:tcPr>
          <w:p w14:paraId="75BCE4FF">
            <w:pPr>
              <w:rPr>
                <w:rFonts w:ascii="宋体" w:cs="Times New Roman"/>
                <w:color w:val="auto"/>
                <w:sz w:val="24"/>
                <w:szCs w:val="24"/>
              </w:rPr>
            </w:pPr>
            <w:r>
              <w:rPr>
                <w:rFonts w:hint="eastAsia" w:ascii="宋体" w:hAnsi="宋体" w:cs="宋体"/>
                <w:color w:val="auto"/>
                <w:sz w:val="24"/>
                <w:szCs w:val="24"/>
              </w:rPr>
              <w:t>表皮光滑，新鲜肥嫩，无内脏，每只不低于</w:t>
            </w:r>
            <w:r>
              <w:rPr>
                <w:rFonts w:ascii="宋体" w:hAnsi="宋体" w:cs="宋体"/>
                <w:color w:val="auto"/>
                <w:sz w:val="24"/>
                <w:szCs w:val="24"/>
              </w:rPr>
              <w:t>1</w:t>
            </w:r>
            <w:r>
              <w:rPr>
                <w:rFonts w:hint="eastAsia" w:ascii="宋体" w:hAnsi="宋体" w:cs="宋体"/>
                <w:color w:val="auto"/>
                <w:sz w:val="24"/>
                <w:szCs w:val="24"/>
              </w:rPr>
              <w:t>公斤，鸭的眼球饱满或平坦，皮肤有光泽，在品种不同而呈黄、浅黄、淡红、灰白等色，肌肉切面有光泽，外表微湿润，不粘手，解冻指压后的凹陷恢复慢，且不能完全恢复，具有鸭的正常气味。</w:t>
            </w:r>
          </w:p>
        </w:tc>
      </w:tr>
      <w:tr w14:paraId="10A37A5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310DE810">
            <w:pPr>
              <w:jc w:val="center"/>
              <w:rPr>
                <w:rFonts w:ascii="宋体" w:cs="Times New Roman"/>
                <w:color w:val="auto"/>
                <w:sz w:val="24"/>
                <w:szCs w:val="24"/>
              </w:rPr>
            </w:pPr>
            <w:r>
              <w:rPr>
                <w:rFonts w:ascii="宋体" w:hAnsi="宋体" w:cs="宋体"/>
                <w:color w:val="auto"/>
                <w:sz w:val="24"/>
                <w:szCs w:val="24"/>
              </w:rPr>
              <w:t>4</w:t>
            </w:r>
          </w:p>
        </w:tc>
        <w:tc>
          <w:tcPr>
            <w:tcW w:w="1336" w:type="dxa"/>
            <w:noWrap w:val="0"/>
            <w:vAlign w:val="center"/>
          </w:tcPr>
          <w:p w14:paraId="27F42534">
            <w:pPr>
              <w:jc w:val="center"/>
              <w:rPr>
                <w:rFonts w:ascii="宋体" w:cs="Times New Roman"/>
                <w:color w:val="auto"/>
                <w:sz w:val="24"/>
                <w:szCs w:val="24"/>
              </w:rPr>
            </w:pPr>
            <w:r>
              <w:rPr>
                <w:rFonts w:hint="eastAsia" w:ascii="宋体" w:hAnsi="宋体" w:cs="宋体"/>
                <w:color w:val="auto"/>
                <w:sz w:val="24"/>
                <w:szCs w:val="24"/>
              </w:rPr>
              <w:t>边鸭</w:t>
            </w:r>
          </w:p>
        </w:tc>
        <w:tc>
          <w:tcPr>
            <w:tcW w:w="6923" w:type="dxa"/>
            <w:noWrap w:val="0"/>
            <w:vAlign w:val="center"/>
          </w:tcPr>
          <w:p w14:paraId="2725B5A8">
            <w:pPr>
              <w:rPr>
                <w:rFonts w:ascii="宋体" w:cs="Times New Roman"/>
                <w:color w:val="auto"/>
                <w:sz w:val="24"/>
                <w:szCs w:val="24"/>
              </w:rPr>
            </w:pPr>
            <w:r>
              <w:rPr>
                <w:rFonts w:hint="eastAsia" w:ascii="宋体" w:hAnsi="宋体" w:cs="宋体"/>
                <w:color w:val="auto"/>
                <w:sz w:val="24"/>
                <w:szCs w:val="24"/>
              </w:rPr>
              <w:t>表皮光滑，新鲜肥嫩，无头，无颈，无内脏，重约</w:t>
            </w:r>
            <w:r>
              <w:rPr>
                <w:rFonts w:ascii="宋体" w:hAnsi="宋体" w:cs="宋体"/>
                <w:color w:val="auto"/>
                <w:sz w:val="24"/>
                <w:szCs w:val="24"/>
              </w:rPr>
              <w:t>0.6-1</w:t>
            </w:r>
            <w:r>
              <w:rPr>
                <w:rFonts w:hint="eastAsia" w:ascii="宋体" w:hAnsi="宋体" w:cs="宋体"/>
                <w:color w:val="auto"/>
                <w:sz w:val="24"/>
                <w:szCs w:val="24"/>
              </w:rPr>
              <w:t>公斤，外表微湿润，不粘手，解冻指压后的凹陷恢复慢，且不能完全恢复，具有鸭的正常气味。</w:t>
            </w:r>
          </w:p>
        </w:tc>
      </w:tr>
      <w:tr w14:paraId="2AB7EE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BB412C1">
            <w:pPr>
              <w:jc w:val="center"/>
              <w:rPr>
                <w:rFonts w:ascii="宋体" w:cs="Times New Roman"/>
                <w:color w:val="auto"/>
                <w:sz w:val="24"/>
                <w:szCs w:val="24"/>
              </w:rPr>
            </w:pPr>
            <w:r>
              <w:rPr>
                <w:rFonts w:ascii="宋体" w:hAnsi="宋体" w:cs="宋体"/>
                <w:color w:val="auto"/>
                <w:sz w:val="24"/>
                <w:szCs w:val="24"/>
              </w:rPr>
              <w:t>5</w:t>
            </w:r>
          </w:p>
        </w:tc>
        <w:tc>
          <w:tcPr>
            <w:tcW w:w="1336" w:type="dxa"/>
            <w:noWrap w:val="0"/>
            <w:vAlign w:val="center"/>
          </w:tcPr>
          <w:p w14:paraId="35D03E1F">
            <w:pPr>
              <w:jc w:val="center"/>
              <w:rPr>
                <w:rFonts w:ascii="宋体" w:cs="Times New Roman"/>
                <w:color w:val="auto"/>
                <w:sz w:val="24"/>
                <w:szCs w:val="24"/>
              </w:rPr>
            </w:pPr>
            <w:r>
              <w:rPr>
                <w:rFonts w:hint="eastAsia" w:ascii="宋体" w:hAnsi="宋体" w:cs="宋体"/>
                <w:color w:val="auto"/>
                <w:sz w:val="24"/>
                <w:szCs w:val="24"/>
              </w:rPr>
              <w:t>牛肉丸</w:t>
            </w:r>
          </w:p>
        </w:tc>
        <w:tc>
          <w:tcPr>
            <w:tcW w:w="6923" w:type="dxa"/>
            <w:noWrap w:val="0"/>
            <w:vAlign w:val="center"/>
          </w:tcPr>
          <w:p w14:paraId="57129C62">
            <w:pPr>
              <w:rPr>
                <w:rFonts w:ascii="宋体" w:cs="Times New Roman"/>
                <w:color w:val="auto"/>
                <w:sz w:val="24"/>
                <w:szCs w:val="24"/>
              </w:rPr>
            </w:pPr>
            <w:r>
              <w:rPr>
                <w:rFonts w:ascii="宋体" w:hAnsi="宋体" w:cs="宋体"/>
                <w:color w:val="auto"/>
                <w:sz w:val="24"/>
                <w:szCs w:val="24"/>
              </w:rPr>
              <w:t>15</w:t>
            </w:r>
            <w:r>
              <w:rPr>
                <w:rFonts w:hint="eastAsia" w:ascii="宋体" w:hAnsi="宋体" w:cs="宋体"/>
                <w:color w:val="auto"/>
                <w:sz w:val="24"/>
                <w:szCs w:val="24"/>
              </w:rPr>
              <w:t>克</w:t>
            </w:r>
            <w:r>
              <w:rPr>
                <w:rFonts w:ascii="宋体" w:hAnsi="宋体" w:cs="宋体"/>
                <w:color w:val="auto"/>
                <w:sz w:val="24"/>
                <w:szCs w:val="24"/>
              </w:rPr>
              <w:t xml:space="preserve"> / </w:t>
            </w:r>
            <w:r>
              <w:rPr>
                <w:rFonts w:hint="eastAsia" w:ascii="宋体" w:hAnsi="宋体" w:cs="宋体"/>
                <w:color w:val="auto"/>
                <w:sz w:val="24"/>
                <w:szCs w:val="24"/>
              </w:rPr>
              <w:t>粒</w:t>
            </w:r>
            <w:r>
              <w:rPr>
                <w:rFonts w:ascii="宋体" w:hAnsi="宋体" w:cs="宋体"/>
                <w:color w:val="auto"/>
                <w:sz w:val="24"/>
                <w:szCs w:val="24"/>
              </w:rPr>
              <w:t>(500</w:t>
            </w:r>
            <w:r>
              <w:rPr>
                <w:rFonts w:hint="eastAsia" w:ascii="宋体" w:hAnsi="宋体" w:cs="宋体"/>
                <w:color w:val="auto"/>
                <w:sz w:val="24"/>
                <w:szCs w:val="24"/>
              </w:rPr>
              <w:t>克约</w:t>
            </w:r>
            <w:r>
              <w:rPr>
                <w:rFonts w:ascii="宋体" w:hAnsi="宋体" w:cs="宋体"/>
                <w:color w:val="auto"/>
                <w:sz w:val="24"/>
                <w:szCs w:val="24"/>
              </w:rPr>
              <w:t>40</w:t>
            </w:r>
            <w:r>
              <w:rPr>
                <w:rFonts w:hint="eastAsia" w:ascii="宋体" w:hAnsi="宋体" w:cs="宋体"/>
                <w:color w:val="auto"/>
                <w:sz w:val="24"/>
                <w:szCs w:val="24"/>
              </w:rPr>
              <w:t>粒</w:t>
            </w:r>
            <w:r>
              <w:rPr>
                <w:rFonts w:ascii="宋体" w:hAnsi="宋体" w:cs="宋体"/>
                <w:color w:val="auto"/>
                <w:sz w:val="24"/>
                <w:szCs w:val="24"/>
              </w:rPr>
              <w:t>)</w:t>
            </w:r>
            <w:r>
              <w:rPr>
                <w:rFonts w:hint="eastAsia" w:ascii="宋体" w:hAnsi="宋体" w:cs="宋体"/>
                <w:color w:val="auto"/>
                <w:sz w:val="24"/>
                <w:szCs w:val="24"/>
              </w:rPr>
              <w:t>，具有良好的弹性，水煮后用手捏应不轻易破裂，且手松开后能恢复。切开丸体其剖面应比较平整，不能有明显的冰晶状物。</w:t>
            </w:r>
          </w:p>
        </w:tc>
      </w:tr>
      <w:tr w14:paraId="7BC95CE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5F715BF">
            <w:pPr>
              <w:jc w:val="center"/>
              <w:rPr>
                <w:rFonts w:ascii="宋体" w:cs="Times New Roman"/>
                <w:color w:val="auto"/>
                <w:sz w:val="24"/>
                <w:szCs w:val="24"/>
              </w:rPr>
            </w:pPr>
            <w:r>
              <w:rPr>
                <w:rFonts w:ascii="宋体" w:hAnsi="宋体" w:cs="宋体"/>
                <w:color w:val="auto"/>
                <w:sz w:val="24"/>
                <w:szCs w:val="24"/>
              </w:rPr>
              <w:t>6</w:t>
            </w:r>
          </w:p>
        </w:tc>
        <w:tc>
          <w:tcPr>
            <w:tcW w:w="1336" w:type="dxa"/>
            <w:noWrap w:val="0"/>
            <w:vAlign w:val="center"/>
          </w:tcPr>
          <w:p w14:paraId="0FAF3A9F">
            <w:pPr>
              <w:jc w:val="center"/>
              <w:rPr>
                <w:rFonts w:ascii="宋体" w:cs="Times New Roman"/>
                <w:color w:val="auto"/>
                <w:sz w:val="24"/>
                <w:szCs w:val="24"/>
              </w:rPr>
            </w:pPr>
            <w:r>
              <w:rPr>
                <w:rFonts w:hint="eastAsia" w:ascii="宋体" w:hAnsi="宋体" w:cs="宋体"/>
                <w:color w:val="auto"/>
                <w:sz w:val="24"/>
                <w:szCs w:val="24"/>
              </w:rPr>
              <w:t>香菇贡丸</w:t>
            </w:r>
          </w:p>
        </w:tc>
        <w:tc>
          <w:tcPr>
            <w:tcW w:w="6923" w:type="dxa"/>
            <w:noWrap w:val="0"/>
            <w:vAlign w:val="center"/>
          </w:tcPr>
          <w:p w14:paraId="25B5AC8A">
            <w:pPr>
              <w:rPr>
                <w:rFonts w:ascii="宋体" w:cs="Times New Roman"/>
                <w:color w:val="auto"/>
                <w:sz w:val="24"/>
                <w:szCs w:val="24"/>
              </w:rPr>
            </w:pPr>
            <w:r>
              <w:rPr>
                <w:rFonts w:ascii="宋体" w:hAnsi="宋体" w:cs="宋体"/>
                <w:color w:val="auto"/>
                <w:sz w:val="24"/>
                <w:szCs w:val="24"/>
              </w:rPr>
              <w:t>15</w:t>
            </w:r>
            <w:r>
              <w:rPr>
                <w:rFonts w:hint="eastAsia" w:ascii="宋体" w:hAnsi="宋体" w:cs="宋体"/>
                <w:color w:val="auto"/>
                <w:sz w:val="24"/>
                <w:szCs w:val="24"/>
              </w:rPr>
              <w:t>克</w:t>
            </w:r>
            <w:r>
              <w:rPr>
                <w:rFonts w:ascii="宋体" w:hAnsi="宋体" w:cs="宋体"/>
                <w:color w:val="auto"/>
                <w:sz w:val="24"/>
                <w:szCs w:val="24"/>
              </w:rPr>
              <w:t xml:space="preserve"> / </w:t>
            </w:r>
            <w:r>
              <w:rPr>
                <w:rFonts w:hint="eastAsia" w:ascii="宋体" w:hAnsi="宋体" w:cs="宋体"/>
                <w:color w:val="auto"/>
                <w:sz w:val="24"/>
                <w:szCs w:val="24"/>
              </w:rPr>
              <w:t>粒</w:t>
            </w:r>
            <w:r>
              <w:rPr>
                <w:rFonts w:ascii="宋体" w:hAnsi="宋体" w:cs="宋体"/>
                <w:color w:val="auto"/>
                <w:sz w:val="24"/>
                <w:szCs w:val="24"/>
              </w:rPr>
              <w:t>(500</w:t>
            </w:r>
            <w:r>
              <w:rPr>
                <w:rFonts w:hint="eastAsia" w:ascii="宋体" w:hAnsi="宋体" w:cs="宋体"/>
                <w:color w:val="auto"/>
                <w:sz w:val="24"/>
                <w:szCs w:val="24"/>
              </w:rPr>
              <w:t>克约</w:t>
            </w:r>
            <w:r>
              <w:rPr>
                <w:rFonts w:ascii="宋体" w:hAnsi="宋体" w:cs="宋体"/>
                <w:color w:val="auto"/>
                <w:sz w:val="24"/>
                <w:szCs w:val="24"/>
              </w:rPr>
              <w:t>40</w:t>
            </w:r>
            <w:r>
              <w:rPr>
                <w:rFonts w:hint="eastAsia" w:ascii="宋体" w:hAnsi="宋体" w:cs="宋体"/>
                <w:color w:val="auto"/>
                <w:sz w:val="24"/>
                <w:szCs w:val="24"/>
              </w:rPr>
              <w:t>粒</w:t>
            </w:r>
            <w:r>
              <w:rPr>
                <w:rFonts w:ascii="宋体" w:hAnsi="宋体" w:cs="宋体"/>
                <w:color w:val="auto"/>
                <w:sz w:val="24"/>
                <w:szCs w:val="24"/>
              </w:rPr>
              <w:t>)</w:t>
            </w:r>
            <w:r>
              <w:rPr>
                <w:rFonts w:hint="eastAsia" w:ascii="宋体" w:hAnsi="宋体" w:cs="宋体"/>
                <w:color w:val="auto"/>
                <w:sz w:val="24"/>
                <w:szCs w:val="24"/>
              </w:rPr>
              <w:t>，具有良好的弹性，水煮后用手捏应不轻易破裂，且手松开后能恢复。切开丸体其剖面应比较平整，不能有明显的冰晶状物。</w:t>
            </w:r>
          </w:p>
        </w:tc>
      </w:tr>
      <w:tr w14:paraId="6535675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87" w:hRule="atLeast"/>
          <w:jc w:val="center"/>
        </w:trPr>
        <w:tc>
          <w:tcPr>
            <w:tcW w:w="738" w:type="dxa"/>
            <w:noWrap w:val="0"/>
            <w:vAlign w:val="center"/>
          </w:tcPr>
          <w:p w14:paraId="7B9D3FEA">
            <w:pPr>
              <w:jc w:val="center"/>
              <w:rPr>
                <w:rFonts w:ascii="宋体" w:cs="Times New Roman"/>
                <w:color w:val="auto"/>
                <w:sz w:val="24"/>
                <w:szCs w:val="24"/>
              </w:rPr>
            </w:pPr>
            <w:r>
              <w:rPr>
                <w:rFonts w:ascii="宋体" w:hAnsi="宋体" w:cs="宋体"/>
                <w:color w:val="auto"/>
                <w:sz w:val="24"/>
                <w:szCs w:val="24"/>
              </w:rPr>
              <w:t>7</w:t>
            </w:r>
          </w:p>
        </w:tc>
        <w:tc>
          <w:tcPr>
            <w:tcW w:w="1336" w:type="dxa"/>
            <w:noWrap w:val="0"/>
            <w:vAlign w:val="center"/>
          </w:tcPr>
          <w:p w14:paraId="70225DB2">
            <w:pPr>
              <w:jc w:val="center"/>
              <w:rPr>
                <w:rFonts w:ascii="宋体" w:cs="Times New Roman"/>
                <w:color w:val="auto"/>
                <w:sz w:val="24"/>
                <w:szCs w:val="24"/>
              </w:rPr>
            </w:pPr>
            <w:r>
              <w:rPr>
                <w:rFonts w:hint="eastAsia" w:ascii="宋体" w:hAnsi="宋体" w:cs="宋体"/>
                <w:color w:val="auto"/>
                <w:sz w:val="24"/>
                <w:szCs w:val="24"/>
              </w:rPr>
              <w:t>光鹅</w:t>
            </w:r>
          </w:p>
        </w:tc>
        <w:tc>
          <w:tcPr>
            <w:tcW w:w="6923" w:type="dxa"/>
            <w:noWrap w:val="0"/>
            <w:vAlign w:val="center"/>
          </w:tcPr>
          <w:p w14:paraId="72D56E99">
            <w:pPr>
              <w:rPr>
                <w:rFonts w:ascii="宋体" w:cs="Times New Roman"/>
                <w:color w:val="auto"/>
                <w:sz w:val="24"/>
                <w:szCs w:val="24"/>
              </w:rPr>
            </w:pPr>
            <w:r>
              <w:rPr>
                <w:rFonts w:hint="eastAsia" w:ascii="宋体" w:hAnsi="宋体" w:cs="宋体"/>
                <w:color w:val="auto"/>
                <w:sz w:val="24"/>
                <w:szCs w:val="24"/>
              </w:rPr>
              <w:t>表皮光滑，新鲜肥嫩，无内脏，每只不低于</w:t>
            </w:r>
            <w:r>
              <w:rPr>
                <w:rFonts w:ascii="宋体" w:hAnsi="宋体" w:cs="宋体"/>
                <w:color w:val="auto"/>
                <w:sz w:val="24"/>
                <w:szCs w:val="24"/>
              </w:rPr>
              <w:t>1</w:t>
            </w:r>
            <w:r>
              <w:rPr>
                <w:rFonts w:hint="eastAsia" w:ascii="宋体" w:hAnsi="宋体" w:cs="宋体"/>
                <w:color w:val="auto"/>
                <w:sz w:val="24"/>
                <w:szCs w:val="24"/>
              </w:rPr>
              <w:t>公斤，鹅的眼球饱满或平坦，皮肤有光泽，在品种不同而呈黄、浅黄、淡红、灰白等色，肌肉切面有光泽，外表微湿润，不粘手，解冻指压后的凹陷恢复慢，且不能完全恢复，具有鹅的正常气味。</w:t>
            </w:r>
          </w:p>
        </w:tc>
      </w:tr>
      <w:tr w14:paraId="44193AB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3F13948A">
            <w:pPr>
              <w:jc w:val="center"/>
              <w:rPr>
                <w:rFonts w:ascii="宋体" w:cs="Times New Roman"/>
                <w:color w:val="auto"/>
                <w:sz w:val="24"/>
                <w:szCs w:val="24"/>
              </w:rPr>
            </w:pPr>
            <w:r>
              <w:rPr>
                <w:rFonts w:ascii="宋体" w:hAnsi="宋体" w:cs="宋体"/>
                <w:color w:val="auto"/>
                <w:sz w:val="24"/>
                <w:szCs w:val="24"/>
              </w:rPr>
              <w:t>8</w:t>
            </w:r>
          </w:p>
        </w:tc>
        <w:tc>
          <w:tcPr>
            <w:tcW w:w="1336" w:type="dxa"/>
            <w:noWrap w:val="0"/>
            <w:vAlign w:val="center"/>
          </w:tcPr>
          <w:p w14:paraId="50E660C1">
            <w:pPr>
              <w:jc w:val="center"/>
              <w:rPr>
                <w:rFonts w:ascii="宋体" w:cs="Times New Roman"/>
                <w:color w:val="auto"/>
                <w:sz w:val="24"/>
                <w:szCs w:val="24"/>
              </w:rPr>
            </w:pPr>
            <w:r>
              <w:rPr>
                <w:rFonts w:hint="eastAsia" w:ascii="宋体" w:hAnsi="宋体" w:cs="宋体"/>
                <w:color w:val="auto"/>
                <w:sz w:val="24"/>
                <w:szCs w:val="24"/>
              </w:rPr>
              <w:t>去皮上肉</w:t>
            </w:r>
          </w:p>
        </w:tc>
        <w:tc>
          <w:tcPr>
            <w:tcW w:w="6923" w:type="dxa"/>
            <w:noWrap w:val="0"/>
            <w:vAlign w:val="center"/>
          </w:tcPr>
          <w:p w14:paraId="354ED1F6">
            <w:pPr>
              <w:rPr>
                <w:rFonts w:ascii="宋体" w:cs="Times New Roman"/>
                <w:color w:val="auto"/>
                <w:sz w:val="24"/>
                <w:szCs w:val="24"/>
              </w:rPr>
            </w:pPr>
            <w:r>
              <w:rPr>
                <w:rFonts w:hint="eastAsia" w:ascii="宋体" w:hAnsi="宋体" w:cs="宋体"/>
                <w:color w:val="auto"/>
                <w:sz w:val="24"/>
                <w:szCs w:val="24"/>
              </w:rPr>
              <w:t>肉呈均匀的红色，有光泽，肉质紧密，有坚实感；肉的外表及切面微湿润，不粘手，脂肪洁白无霉点。</w:t>
            </w:r>
          </w:p>
        </w:tc>
      </w:tr>
      <w:tr w14:paraId="0C8A3B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A0BD7FD">
            <w:pPr>
              <w:jc w:val="center"/>
              <w:rPr>
                <w:rFonts w:ascii="宋体" w:cs="Times New Roman"/>
                <w:color w:val="auto"/>
                <w:sz w:val="24"/>
                <w:szCs w:val="24"/>
              </w:rPr>
            </w:pPr>
            <w:r>
              <w:rPr>
                <w:rFonts w:ascii="宋体" w:hAnsi="宋体" w:cs="宋体"/>
                <w:color w:val="auto"/>
                <w:sz w:val="24"/>
                <w:szCs w:val="24"/>
              </w:rPr>
              <w:t>9</w:t>
            </w:r>
          </w:p>
        </w:tc>
        <w:tc>
          <w:tcPr>
            <w:tcW w:w="1336" w:type="dxa"/>
            <w:noWrap w:val="0"/>
            <w:vAlign w:val="center"/>
          </w:tcPr>
          <w:p w14:paraId="219016F5">
            <w:pPr>
              <w:jc w:val="center"/>
              <w:rPr>
                <w:rFonts w:ascii="宋体" w:cs="Times New Roman"/>
                <w:color w:val="auto"/>
                <w:sz w:val="24"/>
                <w:szCs w:val="24"/>
              </w:rPr>
            </w:pPr>
            <w:r>
              <w:rPr>
                <w:rFonts w:hint="eastAsia" w:ascii="宋体" w:hAnsi="宋体" w:cs="宋体"/>
                <w:color w:val="auto"/>
                <w:sz w:val="24"/>
                <w:szCs w:val="24"/>
              </w:rPr>
              <w:t>光鸡</w:t>
            </w:r>
          </w:p>
        </w:tc>
        <w:tc>
          <w:tcPr>
            <w:tcW w:w="6923" w:type="dxa"/>
            <w:noWrap w:val="0"/>
            <w:vAlign w:val="center"/>
          </w:tcPr>
          <w:p w14:paraId="5452AD5F">
            <w:pPr>
              <w:rPr>
                <w:rFonts w:ascii="宋体" w:cs="Times New Roman"/>
                <w:color w:val="auto"/>
                <w:sz w:val="24"/>
                <w:szCs w:val="24"/>
              </w:rPr>
            </w:pPr>
            <w:r>
              <w:rPr>
                <w:rFonts w:hint="eastAsia" w:ascii="宋体" w:hAnsi="宋体" w:cs="宋体"/>
                <w:color w:val="auto"/>
                <w:sz w:val="24"/>
                <w:szCs w:val="24"/>
              </w:rPr>
              <w:t>整鸡表皮光滑，新鲜肥嫩，有头颈，有腿翅，无内脏，规格从</w:t>
            </w:r>
            <w:r>
              <w:rPr>
                <w:rFonts w:ascii="宋体" w:hAnsi="宋体" w:cs="宋体"/>
                <w:color w:val="auto"/>
                <w:sz w:val="24"/>
                <w:szCs w:val="24"/>
              </w:rPr>
              <w:t>0.6—1.5</w:t>
            </w:r>
            <w:r>
              <w:rPr>
                <w:rFonts w:hint="eastAsia" w:ascii="宋体" w:hAnsi="宋体" w:cs="宋体"/>
                <w:color w:val="auto"/>
                <w:sz w:val="24"/>
                <w:szCs w:val="24"/>
              </w:rPr>
              <w:t>公斤，鸡的眼球饱满或平坦，皮肤有光泽，在品种不同而呈黄、浅黄、淡红、灰白等色，肌肉切面有光泽，外表微湿润，不粘手，解冻指压后的凹陷恢复慢。</w:t>
            </w:r>
          </w:p>
        </w:tc>
      </w:tr>
      <w:tr w14:paraId="62DC293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DD81CE8">
            <w:pPr>
              <w:jc w:val="center"/>
              <w:rPr>
                <w:rFonts w:ascii="宋体" w:cs="Times New Roman"/>
                <w:color w:val="auto"/>
                <w:sz w:val="24"/>
                <w:szCs w:val="24"/>
              </w:rPr>
            </w:pPr>
            <w:r>
              <w:rPr>
                <w:rFonts w:ascii="宋体" w:hAnsi="宋体" w:cs="宋体"/>
                <w:color w:val="auto"/>
                <w:sz w:val="24"/>
                <w:szCs w:val="24"/>
              </w:rPr>
              <w:t>10</w:t>
            </w:r>
          </w:p>
        </w:tc>
        <w:tc>
          <w:tcPr>
            <w:tcW w:w="1336" w:type="dxa"/>
            <w:noWrap w:val="0"/>
            <w:vAlign w:val="center"/>
          </w:tcPr>
          <w:p w14:paraId="57E5744B">
            <w:pPr>
              <w:jc w:val="center"/>
              <w:rPr>
                <w:rFonts w:ascii="宋体" w:cs="Times New Roman"/>
                <w:color w:val="auto"/>
                <w:sz w:val="24"/>
                <w:szCs w:val="24"/>
              </w:rPr>
            </w:pPr>
            <w:r>
              <w:rPr>
                <w:rFonts w:hint="eastAsia" w:ascii="宋体" w:hAnsi="宋体" w:cs="宋体"/>
                <w:color w:val="auto"/>
                <w:sz w:val="24"/>
                <w:szCs w:val="24"/>
              </w:rPr>
              <w:t>方火腿</w:t>
            </w:r>
          </w:p>
        </w:tc>
        <w:tc>
          <w:tcPr>
            <w:tcW w:w="6923" w:type="dxa"/>
            <w:noWrap w:val="0"/>
            <w:vAlign w:val="center"/>
          </w:tcPr>
          <w:p w14:paraId="7820E2FB">
            <w:pPr>
              <w:rPr>
                <w:rFonts w:ascii="宋体" w:cs="Times New Roman"/>
                <w:color w:val="auto"/>
                <w:sz w:val="24"/>
                <w:szCs w:val="24"/>
              </w:rPr>
            </w:pPr>
            <w:r>
              <w:rPr>
                <w:rFonts w:hint="eastAsia" w:ascii="宋体" w:hAnsi="宋体" w:cs="宋体"/>
                <w:color w:val="auto"/>
                <w:sz w:val="24"/>
                <w:szCs w:val="24"/>
              </w:rPr>
              <w:t>表皮应干燥、皮质坚硬，火腿肌肉应是紧密且富有弹性，切面为深红色、色泽均匀；无酸败味或其它异味。</w:t>
            </w:r>
          </w:p>
        </w:tc>
      </w:tr>
      <w:tr w14:paraId="1B8354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36CAE903">
            <w:pPr>
              <w:jc w:val="center"/>
              <w:rPr>
                <w:rFonts w:ascii="宋体" w:cs="Times New Roman"/>
                <w:color w:val="auto"/>
                <w:sz w:val="24"/>
                <w:szCs w:val="24"/>
              </w:rPr>
            </w:pPr>
            <w:r>
              <w:rPr>
                <w:rFonts w:ascii="宋体" w:hAnsi="宋体" w:cs="宋体"/>
                <w:color w:val="auto"/>
                <w:sz w:val="24"/>
                <w:szCs w:val="24"/>
              </w:rPr>
              <w:t>11</w:t>
            </w:r>
          </w:p>
        </w:tc>
        <w:tc>
          <w:tcPr>
            <w:tcW w:w="1336" w:type="dxa"/>
            <w:noWrap w:val="0"/>
            <w:vAlign w:val="center"/>
          </w:tcPr>
          <w:p w14:paraId="5BADB5A5">
            <w:pPr>
              <w:jc w:val="center"/>
              <w:rPr>
                <w:rFonts w:ascii="宋体" w:cs="Times New Roman"/>
                <w:color w:val="auto"/>
                <w:sz w:val="24"/>
                <w:szCs w:val="24"/>
              </w:rPr>
            </w:pPr>
            <w:r>
              <w:rPr>
                <w:rFonts w:hint="eastAsia" w:ascii="宋体" w:hAnsi="宋体" w:cs="宋体"/>
                <w:color w:val="auto"/>
                <w:sz w:val="24"/>
                <w:szCs w:val="24"/>
              </w:rPr>
              <w:t>鱼</w:t>
            </w:r>
          </w:p>
        </w:tc>
        <w:tc>
          <w:tcPr>
            <w:tcW w:w="6923" w:type="dxa"/>
            <w:noWrap w:val="0"/>
            <w:vAlign w:val="center"/>
          </w:tcPr>
          <w:p w14:paraId="78FD868C">
            <w:pPr>
              <w:rPr>
                <w:rFonts w:ascii="宋体" w:cs="Times New Roman"/>
                <w:color w:val="auto"/>
                <w:sz w:val="24"/>
                <w:szCs w:val="24"/>
              </w:rPr>
            </w:pPr>
            <w:r>
              <w:rPr>
                <w:rFonts w:hint="eastAsia" w:ascii="宋体" w:hAnsi="宋体" w:cs="宋体"/>
                <w:color w:val="auto"/>
                <w:sz w:val="24"/>
                <w:szCs w:val="24"/>
              </w:rPr>
              <w:t>每条不低于</w:t>
            </w:r>
            <w:r>
              <w:rPr>
                <w:rFonts w:ascii="宋体" w:hAnsi="宋体" w:cs="宋体"/>
                <w:color w:val="auto"/>
                <w:sz w:val="24"/>
                <w:szCs w:val="24"/>
              </w:rPr>
              <w:t>500</w:t>
            </w:r>
            <w:r>
              <w:rPr>
                <w:rFonts w:hint="eastAsia" w:ascii="宋体" w:hAnsi="宋体" w:cs="宋体"/>
                <w:color w:val="auto"/>
                <w:sz w:val="24"/>
                <w:szCs w:val="24"/>
              </w:rPr>
              <w:t>克，鱼眼睛清亮，角膜透明，眼球略微隆起，鳍展平张开，鳞片上覆有冻结的透明黏液层，皮肤天然色泽明显。</w:t>
            </w:r>
          </w:p>
        </w:tc>
      </w:tr>
      <w:tr w14:paraId="73B3066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5F41201">
            <w:pPr>
              <w:jc w:val="center"/>
              <w:rPr>
                <w:rFonts w:ascii="宋体" w:cs="Times New Roman"/>
                <w:color w:val="auto"/>
                <w:sz w:val="24"/>
                <w:szCs w:val="24"/>
              </w:rPr>
            </w:pPr>
            <w:r>
              <w:rPr>
                <w:rFonts w:ascii="宋体" w:hAnsi="宋体" w:cs="宋体"/>
                <w:color w:val="auto"/>
                <w:sz w:val="24"/>
                <w:szCs w:val="24"/>
              </w:rPr>
              <w:t>12</w:t>
            </w:r>
          </w:p>
        </w:tc>
        <w:tc>
          <w:tcPr>
            <w:tcW w:w="1336" w:type="dxa"/>
            <w:noWrap w:val="0"/>
            <w:vAlign w:val="center"/>
          </w:tcPr>
          <w:p w14:paraId="67DE267A">
            <w:pPr>
              <w:jc w:val="center"/>
              <w:rPr>
                <w:rFonts w:ascii="宋体" w:cs="Times New Roman"/>
                <w:color w:val="auto"/>
                <w:sz w:val="24"/>
                <w:szCs w:val="24"/>
              </w:rPr>
            </w:pPr>
            <w:r>
              <w:rPr>
                <w:rFonts w:hint="eastAsia" w:ascii="宋体" w:hAnsi="宋体" w:cs="宋体"/>
                <w:color w:val="auto"/>
                <w:sz w:val="24"/>
                <w:szCs w:val="24"/>
              </w:rPr>
              <w:t>瘦肉</w:t>
            </w:r>
          </w:p>
        </w:tc>
        <w:tc>
          <w:tcPr>
            <w:tcW w:w="6923" w:type="dxa"/>
            <w:noWrap w:val="0"/>
            <w:vAlign w:val="center"/>
          </w:tcPr>
          <w:p w14:paraId="7F4ABC4A">
            <w:pPr>
              <w:rPr>
                <w:rFonts w:ascii="宋体" w:cs="Times New Roman"/>
                <w:color w:val="auto"/>
                <w:sz w:val="24"/>
                <w:szCs w:val="24"/>
              </w:rPr>
            </w:pPr>
            <w:r>
              <w:rPr>
                <w:rFonts w:hint="eastAsia" w:ascii="宋体" w:hAnsi="宋体" w:cs="宋体"/>
                <w:color w:val="auto"/>
                <w:sz w:val="24"/>
                <w:szCs w:val="24"/>
              </w:rPr>
              <w:t>肉呈均匀的红色，有光泽，肉质紧密，有坚实感；肉的外表及切面微湿润，不粘手。</w:t>
            </w:r>
          </w:p>
        </w:tc>
      </w:tr>
      <w:tr w14:paraId="068A1A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7CA67C25">
            <w:pPr>
              <w:jc w:val="center"/>
              <w:rPr>
                <w:rFonts w:ascii="宋体" w:cs="Times New Roman"/>
                <w:color w:val="auto"/>
                <w:sz w:val="24"/>
                <w:szCs w:val="24"/>
              </w:rPr>
            </w:pPr>
            <w:r>
              <w:rPr>
                <w:rFonts w:ascii="宋体" w:hAnsi="宋体" w:cs="宋体"/>
                <w:color w:val="auto"/>
                <w:sz w:val="24"/>
                <w:szCs w:val="24"/>
              </w:rPr>
              <w:t>13</w:t>
            </w:r>
          </w:p>
        </w:tc>
        <w:tc>
          <w:tcPr>
            <w:tcW w:w="1336" w:type="dxa"/>
            <w:noWrap w:val="0"/>
            <w:vAlign w:val="center"/>
          </w:tcPr>
          <w:p w14:paraId="24EDED64">
            <w:pPr>
              <w:jc w:val="center"/>
              <w:rPr>
                <w:rFonts w:ascii="宋体" w:cs="Times New Roman"/>
                <w:color w:val="auto"/>
                <w:sz w:val="24"/>
                <w:szCs w:val="24"/>
              </w:rPr>
            </w:pPr>
            <w:r>
              <w:rPr>
                <w:rFonts w:hint="eastAsia" w:ascii="宋体" w:hAnsi="宋体" w:cs="宋体"/>
                <w:color w:val="auto"/>
                <w:sz w:val="24"/>
                <w:szCs w:val="24"/>
              </w:rPr>
              <w:t>鸭腿</w:t>
            </w:r>
          </w:p>
        </w:tc>
        <w:tc>
          <w:tcPr>
            <w:tcW w:w="6923" w:type="dxa"/>
            <w:noWrap w:val="0"/>
            <w:vAlign w:val="center"/>
          </w:tcPr>
          <w:p w14:paraId="50DD81A7">
            <w:pPr>
              <w:rPr>
                <w:rFonts w:ascii="宋体" w:cs="Times New Roman"/>
                <w:color w:val="auto"/>
                <w:sz w:val="24"/>
                <w:szCs w:val="24"/>
              </w:rPr>
            </w:pPr>
            <w:r>
              <w:rPr>
                <w:rFonts w:hint="eastAsia" w:ascii="宋体" w:hAnsi="宋体" w:cs="宋体"/>
                <w:color w:val="auto"/>
                <w:sz w:val="24"/>
                <w:szCs w:val="24"/>
              </w:rPr>
              <w:t>表皮光滑，无淤血，交货以干净、新鲜、无异味，大小适合规格要求为标准。</w:t>
            </w:r>
          </w:p>
        </w:tc>
      </w:tr>
      <w:tr w14:paraId="3858B8C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F543418">
            <w:pPr>
              <w:jc w:val="center"/>
              <w:rPr>
                <w:rFonts w:ascii="宋体" w:cs="Times New Roman"/>
                <w:color w:val="auto"/>
                <w:sz w:val="24"/>
                <w:szCs w:val="24"/>
              </w:rPr>
            </w:pPr>
            <w:r>
              <w:rPr>
                <w:rFonts w:ascii="宋体" w:hAnsi="宋体" w:cs="宋体"/>
                <w:color w:val="auto"/>
                <w:sz w:val="24"/>
                <w:szCs w:val="24"/>
              </w:rPr>
              <w:t>14</w:t>
            </w:r>
          </w:p>
        </w:tc>
        <w:tc>
          <w:tcPr>
            <w:tcW w:w="1336" w:type="dxa"/>
            <w:noWrap w:val="0"/>
            <w:vAlign w:val="center"/>
          </w:tcPr>
          <w:p w14:paraId="5C2CB810">
            <w:pPr>
              <w:jc w:val="center"/>
              <w:rPr>
                <w:rFonts w:ascii="宋体" w:cs="Times New Roman"/>
                <w:color w:val="auto"/>
                <w:sz w:val="24"/>
                <w:szCs w:val="24"/>
              </w:rPr>
            </w:pPr>
            <w:r>
              <w:rPr>
                <w:rFonts w:hint="eastAsia" w:ascii="宋体" w:hAnsi="宋体" w:cs="宋体"/>
                <w:color w:val="auto"/>
                <w:sz w:val="24"/>
                <w:szCs w:val="24"/>
              </w:rPr>
              <w:t>鸡腿</w:t>
            </w:r>
          </w:p>
        </w:tc>
        <w:tc>
          <w:tcPr>
            <w:tcW w:w="6923" w:type="dxa"/>
            <w:noWrap w:val="0"/>
            <w:vAlign w:val="center"/>
          </w:tcPr>
          <w:p w14:paraId="31118F5F">
            <w:pPr>
              <w:rPr>
                <w:rFonts w:ascii="宋体" w:cs="Times New Roman"/>
                <w:color w:val="auto"/>
                <w:sz w:val="24"/>
                <w:szCs w:val="24"/>
              </w:rPr>
            </w:pPr>
            <w:r>
              <w:rPr>
                <w:rFonts w:hint="eastAsia" w:ascii="宋体" w:hAnsi="宋体" w:cs="宋体"/>
                <w:color w:val="auto"/>
                <w:sz w:val="24"/>
                <w:szCs w:val="24"/>
              </w:rPr>
              <w:t>表皮光滑，无淤血，交货以干净、新鲜、无异味，大小适合规格要求为标准。</w:t>
            </w:r>
          </w:p>
        </w:tc>
      </w:tr>
      <w:tr w14:paraId="134CD97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6C7C556F">
            <w:pPr>
              <w:jc w:val="center"/>
              <w:rPr>
                <w:rFonts w:ascii="宋体" w:cs="Times New Roman"/>
                <w:color w:val="auto"/>
                <w:sz w:val="24"/>
                <w:szCs w:val="24"/>
              </w:rPr>
            </w:pPr>
            <w:r>
              <w:rPr>
                <w:rFonts w:ascii="宋体" w:hAnsi="宋体" w:cs="宋体"/>
                <w:color w:val="auto"/>
                <w:sz w:val="24"/>
                <w:szCs w:val="24"/>
              </w:rPr>
              <w:t>15</w:t>
            </w:r>
          </w:p>
        </w:tc>
        <w:tc>
          <w:tcPr>
            <w:tcW w:w="1336" w:type="dxa"/>
            <w:noWrap w:val="0"/>
            <w:vAlign w:val="center"/>
          </w:tcPr>
          <w:p w14:paraId="24D7DDF2">
            <w:pPr>
              <w:jc w:val="center"/>
              <w:rPr>
                <w:rFonts w:ascii="宋体" w:cs="Times New Roman"/>
                <w:color w:val="auto"/>
                <w:sz w:val="24"/>
                <w:szCs w:val="24"/>
              </w:rPr>
            </w:pPr>
            <w:r>
              <w:rPr>
                <w:rFonts w:hint="eastAsia" w:ascii="宋体" w:hAnsi="宋体" w:cs="宋体"/>
                <w:color w:val="auto"/>
                <w:sz w:val="24"/>
                <w:szCs w:val="24"/>
              </w:rPr>
              <w:t>鱼丸</w:t>
            </w:r>
          </w:p>
        </w:tc>
        <w:tc>
          <w:tcPr>
            <w:tcW w:w="6923" w:type="dxa"/>
            <w:noWrap w:val="0"/>
            <w:vAlign w:val="center"/>
          </w:tcPr>
          <w:p w14:paraId="6E1DBC5E">
            <w:pPr>
              <w:rPr>
                <w:rFonts w:ascii="宋体" w:cs="Times New Roman"/>
                <w:color w:val="auto"/>
                <w:sz w:val="24"/>
                <w:szCs w:val="24"/>
              </w:rPr>
            </w:pPr>
            <w:r>
              <w:rPr>
                <w:rFonts w:hint="eastAsia" w:ascii="宋体" w:hAnsi="宋体" w:cs="宋体"/>
                <w:color w:val="auto"/>
                <w:sz w:val="24"/>
                <w:szCs w:val="24"/>
              </w:rPr>
              <w:t>具有良好的弹性，水煮后用水捏应不轻易破裂，且手松开后能恢复。切开丸体其剖面应比较完整，不能有明显的冰晶状物。</w:t>
            </w:r>
          </w:p>
        </w:tc>
      </w:tr>
      <w:tr w14:paraId="36B9A3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2F720C14">
            <w:pPr>
              <w:jc w:val="center"/>
              <w:rPr>
                <w:rFonts w:ascii="宋体" w:cs="Times New Roman"/>
                <w:color w:val="auto"/>
                <w:sz w:val="24"/>
                <w:szCs w:val="24"/>
              </w:rPr>
            </w:pPr>
            <w:r>
              <w:rPr>
                <w:rFonts w:ascii="宋体" w:hAnsi="宋体" w:cs="宋体"/>
                <w:color w:val="auto"/>
                <w:sz w:val="24"/>
                <w:szCs w:val="24"/>
              </w:rPr>
              <w:t>16</w:t>
            </w:r>
          </w:p>
        </w:tc>
        <w:tc>
          <w:tcPr>
            <w:tcW w:w="1336" w:type="dxa"/>
            <w:noWrap w:val="0"/>
            <w:vAlign w:val="center"/>
          </w:tcPr>
          <w:p w14:paraId="703B045E">
            <w:pPr>
              <w:jc w:val="center"/>
              <w:rPr>
                <w:rFonts w:ascii="宋体" w:cs="Times New Roman"/>
                <w:color w:val="auto"/>
                <w:sz w:val="24"/>
                <w:szCs w:val="24"/>
              </w:rPr>
            </w:pPr>
            <w:r>
              <w:rPr>
                <w:rFonts w:hint="eastAsia" w:ascii="宋体" w:hAnsi="宋体" w:cs="宋体"/>
                <w:color w:val="auto"/>
                <w:sz w:val="24"/>
                <w:szCs w:val="24"/>
              </w:rPr>
              <w:t>猪前排</w:t>
            </w:r>
          </w:p>
        </w:tc>
        <w:tc>
          <w:tcPr>
            <w:tcW w:w="6923" w:type="dxa"/>
            <w:noWrap w:val="0"/>
            <w:vAlign w:val="center"/>
          </w:tcPr>
          <w:p w14:paraId="3F90D554">
            <w:pPr>
              <w:rPr>
                <w:rFonts w:ascii="宋体" w:cs="Times New Roman"/>
                <w:color w:val="auto"/>
                <w:sz w:val="24"/>
                <w:szCs w:val="24"/>
              </w:rPr>
            </w:pPr>
            <w:r>
              <w:rPr>
                <w:rFonts w:hint="eastAsia" w:ascii="宋体" w:hAnsi="宋体" w:cs="宋体"/>
                <w:color w:val="auto"/>
                <w:sz w:val="24"/>
                <w:szCs w:val="24"/>
              </w:rPr>
              <w:t>带颈骨及前五条排骨，肉体冻实而坚硬，敲之回音清脆，无化冻现象。</w:t>
            </w:r>
          </w:p>
        </w:tc>
      </w:tr>
      <w:tr w14:paraId="1E72D2D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D161C5A">
            <w:pPr>
              <w:jc w:val="center"/>
              <w:rPr>
                <w:rFonts w:ascii="宋体" w:cs="Times New Roman"/>
                <w:color w:val="auto"/>
                <w:sz w:val="24"/>
                <w:szCs w:val="24"/>
              </w:rPr>
            </w:pPr>
            <w:r>
              <w:rPr>
                <w:rFonts w:ascii="宋体" w:hAnsi="宋体" w:cs="宋体"/>
                <w:color w:val="auto"/>
                <w:sz w:val="24"/>
                <w:szCs w:val="24"/>
              </w:rPr>
              <w:t>17</w:t>
            </w:r>
          </w:p>
        </w:tc>
        <w:tc>
          <w:tcPr>
            <w:tcW w:w="1336" w:type="dxa"/>
            <w:noWrap w:val="0"/>
            <w:vAlign w:val="center"/>
          </w:tcPr>
          <w:p w14:paraId="6791D89C">
            <w:pPr>
              <w:jc w:val="center"/>
              <w:rPr>
                <w:rFonts w:ascii="宋体" w:cs="Times New Roman"/>
                <w:color w:val="auto"/>
                <w:sz w:val="24"/>
                <w:szCs w:val="24"/>
              </w:rPr>
            </w:pPr>
            <w:r>
              <w:rPr>
                <w:rFonts w:hint="eastAsia" w:ascii="宋体" w:hAnsi="宋体" w:cs="宋体"/>
                <w:color w:val="auto"/>
                <w:sz w:val="24"/>
                <w:szCs w:val="24"/>
              </w:rPr>
              <w:t>腊肠</w:t>
            </w:r>
          </w:p>
        </w:tc>
        <w:tc>
          <w:tcPr>
            <w:tcW w:w="6923" w:type="dxa"/>
            <w:noWrap w:val="0"/>
            <w:vAlign w:val="center"/>
          </w:tcPr>
          <w:p w14:paraId="5803C08C">
            <w:pPr>
              <w:rPr>
                <w:rFonts w:ascii="宋体" w:cs="Times New Roman"/>
                <w:color w:val="auto"/>
                <w:sz w:val="24"/>
                <w:szCs w:val="24"/>
              </w:rPr>
            </w:pPr>
            <w:r>
              <w:rPr>
                <w:rFonts w:hint="eastAsia" w:ascii="宋体" w:hAnsi="宋体" w:cs="宋体"/>
                <w:color w:val="auto"/>
                <w:sz w:val="24"/>
                <w:szCs w:val="24"/>
              </w:rPr>
              <w:t>有商标、牌号、产地、卫生检验合格证，国家</w:t>
            </w:r>
            <w:r>
              <w:rPr>
                <w:rFonts w:ascii="宋体" w:hAnsi="宋体" w:cs="宋体"/>
                <w:color w:val="auto"/>
                <w:sz w:val="24"/>
                <w:szCs w:val="24"/>
                <w:shd w:val="clear" w:color="FFFFFF" w:fill="D9D9D9"/>
              </w:rPr>
              <w:t>SC</w:t>
            </w:r>
            <w:r>
              <w:rPr>
                <w:rFonts w:hint="eastAsia" w:ascii="宋体" w:hAnsi="宋体" w:cs="宋体"/>
                <w:color w:val="auto"/>
                <w:sz w:val="24"/>
                <w:szCs w:val="24"/>
              </w:rPr>
              <w:t>认证。表面干爽、肉呈鲜红色或暗红色，无霉变，无异味，脂肪透明或呈乳白色。</w:t>
            </w:r>
          </w:p>
        </w:tc>
      </w:tr>
      <w:tr w14:paraId="339220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106EA261">
            <w:pPr>
              <w:jc w:val="center"/>
              <w:rPr>
                <w:rFonts w:ascii="宋体" w:cs="Times New Roman"/>
                <w:color w:val="auto"/>
                <w:sz w:val="24"/>
                <w:szCs w:val="24"/>
              </w:rPr>
            </w:pPr>
            <w:r>
              <w:rPr>
                <w:rFonts w:ascii="宋体" w:hAnsi="宋体" w:cs="宋体"/>
                <w:color w:val="auto"/>
                <w:sz w:val="24"/>
                <w:szCs w:val="24"/>
              </w:rPr>
              <w:t>18</w:t>
            </w:r>
          </w:p>
        </w:tc>
        <w:tc>
          <w:tcPr>
            <w:tcW w:w="1336" w:type="dxa"/>
            <w:noWrap w:val="0"/>
            <w:vAlign w:val="center"/>
          </w:tcPr>
          <w:p w14:paraId="734887BC">
            <w:pPr>
              <w:jc w:val="center"/>
              <w:rPr>
                <w:rFonts w:ascii="宋体" w:cs="Times New Roman"/>
                <w:color w:val="auto"/>
                <w:sz w:val="24"/>
                <w:szCs w:val="24"/>
              </w:rPr>
            </w:pPr>
            <w:r>
              <w:rPr>
                <w:rFonts w:hint="eastAsia" w:ascii="宋体" w:hAnsi="宋体" w:cs="宋体"/>
                <w:color w:val="auto"/>
                <w:sz w:val="24"/>
                <w:szCs w:val="24"/>
              </w:rPr>
              <w:t>鸡翅</w:t>
            </w:r>
          </w:p>
        </w:tc>
        <w:tc>
          <w:tcPr>
            <w:tcW w:w="6923" w:type="dxa"/>
            <w:noWrap w:val="0"/>
            <w:vAlign w:val="center"/>
          </w:tcPr>
          <w:p w14:paraId="3D0DFBDD">
            <w:pPr>
              <w:rPr>
                <w:rFonts w:ascii="宋体" w:cs="Times New Roman"/>
                <w:color w:val="auto"/>
                <w:sz w:val="24"/>
                <w:szCs w:val="24"/>
              </w:rPr>
            </w:pPr>
            <w:r>
              <w:rPr>
                <w:rFonts w:hint="eastAsia" w:ascii="宋体" w:hAnsi="宋体" w:cs="宋体"/>
                <w:color w:val="auto"/>
                <w:sz w:val="24"/>
                <w:szCs w:val="24"/>
              </w:rPr>
              <w:t>肉质紧密，无污伤、无小毛，个体大小均匀。</w:t>
            </w:r>
          </w:p>
        </w:tc>
      </w:tr>
      <w:tr w14:paraId="268A930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2581B99A">
            <w:pPr>
              <w:jc w:val="center"/>
              <w:rPr>
                <w:rFonts w:ascii="宋体" w:cs="Times New Roman"/>
                <w:color w:val="auto"/>
                <w:sz w:val="24"/>
                <w:szCs w:val="24"/>
              </w:rPr>
            </w:pPr>
            <w:r>
              <w:rPr>
                <w:rFonts w:ascii="宋体" w:hAnsi="宋体" w:cs="宋体"/>
                <w:color w:val="auto"/>
                <w:sz w:val="24"/>
                <w:szCs w:val="24"/>
              </w:rPr>
              <w:t>19</w:t>
            </w:r>
          </w:p>
        </w:tc>
        <w:tc>
          <w:tcPr>
            <w:tcW w:w="1336" w:type="dxa"/>
            <w:noWrap w:val="0"/>
            <w:vAlign w:val="center"/>
          </w:tcPr>
          <w:p w14:paraId="450177B8">
            <w:pPr>
              <w:jc w:val="center"/>
              <w:rPr>
                <w:rFonts w:ascii="宋体" w:cs="Times New Roman"/>
                <w:color w:val="auto"/>
                <w:sz w:val="24"/>
                <w:szCs w:val="24"/>
              </w:rPr>
            </w:pPr>
            <w:r>
              <w:rPr>
                <w:rFonts w:hint="eastAsia" w:ascii="宋体" w:hAnsi="宋体" w:cs="宋体"/>
                <w:color w:val="auto"/>
                <w:sz w:val="24"/>
                <w:szCs w:val="24"/>
              </w:rPr>
              <w:t>排骨</w:t>
            </w:r>
          </w:p>
        </w:tc>
        <w:tc>
          <w:tcPr>
            <w:tcW w:w="6923" w:type="dxa"/>
            <w:noWrap w:val="0"/>
            <w:vAlign w:val="center"/>
          </w:tcPr>
          <w:p w14:paraId="5103378C">
            <w:pPr>
              <w:rPr>
                <w:rFonts w:ascii="宋体" w:cs="Times New Roman"/>
                <w:color w:val="auto"/>
                <w:sz w:val="24"/>
                <w:szCs w:val="24"/>
              </w:rPr>
            </w:pPr>
            <w:r>
              <w:rPr>
                <w:rFonts w:hint="eastAsia" w:ascii="宋体" w:hAnsi="宋体" w:cs="宋体"/>
                <w:color w:val="auto"/>
                <w:sz w:val="24"/>
                <w:szCs w:val="24"/>
              </w:rPr>
              <w:t>肉体新鲜，无淤血，交货以干净、新鲜、无异味，大小适合规格要求为标准。。</w:t>
            </w:r>
          </w:p>
        </w:tc>
      </w:tr>
      <w:tr w14:paraId="03775F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E1BD719">
            <w:pPr>
              <w:jc w:val="center"/>
              <w:rPr>
                <w:rFonts w:ascii="宋体" w:cs="Times New Roman"/>
                <w:color w:val="auto"/>
                <w:sz w:val="24"/>
                <w:szCs w:val="24"/>
              </w:rPr>
            </w:pPr>
            <w:r>
              <w:rPr>
                <w:rFonts w:ascii="宋体" w:hAnsi="宋体" w:cs="宋体"/>
                <w:color w:val="auto"/>
                <w:sz w:val="24"/>
                <w:szCs w:val="24"/>
              </w:rPr>
              <w:t>20</w:t>
            </w:r>
          </w:p>
        </w:tc>
        <w:tc>
          <w:tcPr>
            <w:tcW w:w="1336" w:type="dxa"/>
            <w:noWrap w:val="0"/>
            <w:vAlign w:val="center"/>
          </w:tcPr>
          <w:p w14:paraId="474A5C12">
            <w:pPr>
              <w:jc w:val="center"/>
              <w:rPr>
                <w:rFonts w:ascii="宋体" w:cs="Times New Roman"/>
                <w:color w:val="auto"/>
                <w:sz w:val="24"/>
                <w:szCs w:val="24"/>
              </w:rPr>
            </w:pPr>
            <w:r>
              <w:rPr>
                <w:rFonts w:hint="eastAsia" w:ascii="宋体" w:hAnsi="宋体" w:cs="宋体"/>
                <w:color w:val="auto"/>
                <w:sz w:val="24"/>
                <w:szCs w:val="24"/>
              </w:rPr>
              <w:t>猪蹄</w:t>
            </w:r>
          </w:p>
        </w:tc>
        <w:tc>
          <w:tcPr>
            <w:tcW w:w="6923" w:type="dxa"/>
            <w:noWrap w:val="0"/>
            <w:vAlign w:val="center"/>
          </w:tcPr>
          <w:p w14:paraId="13A15700">
            <w:pPr>
              <w:rPr>
                <w:rFonts w:ascii="宋体" w:cs="Times New Roman"/>
                <w:color w:val="auto"/>
                <w:sz w:val="24"/>
                <w:szCs w:val="24"/>
              </w:rPr>
            </w:pPr>
            <w:r>
              <w:rPr>
                <w:rFonts w:hint="eastAsia" w:ascii="宋体" w:hAnsi="宋体" w:cs="宋体"/>
                <w:color w:val="auto"/>
                <w:sz w:val="24"/>
                <w:szCs w:val="24"/>
              </w:rPr>
              <w:t>必须去除一切毛污物，无异味，交货以干净、新鲜、大小适合规格要求为标准。</w:t>
            </w:r>
          </w:p>
        </w:tc>
      </w:tr>
      <w:tr w14:paraId="4B8651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7E380EF4">
            <w:pPr>
              <w:jc w:val="center"/>
              <w:rPr>
                <w:rFonts w:ascii="宋体" w:cs="Times New Roman"/>
                <w:color w:val="auto"/>
                <w:sz w:val="24"/>
                <w:szCs w:val="24"/>
              </w:rPr>
            </w:pPr>
            <w:r>
              <w:rPr>
                <w:rFonts w:ascii="宋体" w:hAnsi="宋体" w:cs="宋体"/>
                <w:color w:val="auto"/>
                <w:sz w:val="24"/>
                <w:szCs w:val="24"/>
              </w:rPr>
              <w:t>21</w:t>
            </w:r>
          </w:p>
        </w:tc>
        <w:tc>
          <w:tcPr>
            <w:tcW w:w="1336" w:type="dxa"/>
            <w:noWrap w:val="0"/>
            <w:vAlign w:val="center"/>
          </w:tcPr>
          <w:p w14:paraId="43F9730D">
            <w:pPr>
              <w:jc w:val="center"/>
              <w:rPr>
                <w:rFonts w:ascii="宋体" w:cs="Times New Roman"/>
                <w:color w:val="auto"/>
                <w:sz w:val="24"/>
                <w:szCs w:val="24"/>
              </w:rPr>
            </w:pPr>
            <w:r>
              <w:rPr>
                <w:rFonts w:hint="eastAsia" w:ascii="宋体" w:hAnsi="宋体" w:cs="宋体"/>
                <w:color w:val="auto"/>
                <w:sz w:val="24"/>
                <w:szCs w:val="24"/>
              </w:rPr>
              <w:t>猪筒骨</w:t>
            </w:r>
          </w:p>
        </w:tc>
        <w:tc>
          <w:tcPr>
            <w:tcW w:w="6923" w:type="dxa"/>
            <w:noWrap w:val="0"/>
            <w:vAlign w:val="center"/>
          </w:tcPr>
          <w:p w14:paraId="36881508">
            <w:pPr>
              <w:rPr>
                <w:rFonts w:ascii="宋体" w:cs="Times New Roman"/>
                <w:color w:val="auto"/>
                <w:sz w:val="24"/>
                <w:szCs w:val="24"/>
              </w:rPr>
            </w:pPr>
            <w:r>
              <w:rPr>
                <w:rFonts w:hint="eastAsia" w:ascii="宋体" w:hAnsi="宋体" w:cs="宋体"/>
                <w:color w:val="auto"/>
                <w:sz w:val="24"/>
                <w:szCs w:val="24"/>
              </w:rPr>
              <w:t>骨体冻实而坚硬，无化冻现象。</w:t>
            </w:r>
          </w:p>
        </w:tc>
      </w:tr>
      <w:tr w14:paraId="1AAA4B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ED3851C">
            <w:pPr>
              <w:jc w:val="center"/>
              <w:rPr>
                <w:rFonts w:ascii="宋体" w:cs="Times New Roman"/>
                <w:color w:val="auto"/>
                <w:sz w:val="24"/>
                <w:szCs w:val="24"/>
              </w:rPr>
            </w:pPr>
            <w:r>
              <w:rPr>
                <w:rFonts w:ascii="宋体" w:hAnsi="宋体" w:cs="宋体"/>
                <w:color w:val="auto"/>
                <w:sz w:val="24"/>
                <w:szCs w:val="24"/>
              </w:rPr>
              <w:t>22</w:t>
            </w:r>
          </w:p>
        </w:tc>
        <w:tc>
          <w:tcPr>
            <w:tcW w:w="1336" w:type="dxa"/>
            <w:noWrap w:val="0"/>
            <w:vAlign w:val="center"/>
          </w:tcPr>
          <w:p w14:paraId="51F613A5">
            <w:pPr>
              <w:jc w:val="center"/>
              <w:rPr>
                <w:rFonts w:ascii="宋体" w:cs="Times New Roman"/>
                <w:color w:val="auto"/>
                <w:sz w:val="24"/>
                <w:szCs w:val="24"/>
              </w:rPr>
            </w:pPr>
            <w:r>
              <w:rPr>
                <w:rFonts w:hint="eastAsia" w:ascii="宋体" w:hAnsi="宋体" w:cs="宋体"/>
                <w:color w:val="auto"/>
                <w:sz w:val="24"/>
                <w:szCs w:val="24"/>
              </w:rPr>
              <w:t>牛肉</w:t>
            </w:r>
          </w:p>
        </w:tc>
        <w:tc>
          <w:tcPr>
            <w:tcW w:w="6923" w:type="dxa"/>
            <w:noWrap w:val="0"/>
            <w:vAlign w:val="center"/>
          </w:tcPr>
          <w:p w14:paraId="30729715">
            <w:pPr>
              <w:rPr>
                <w:rFonts w:ascii="宋体" w:cs="Times New Roman"/>
                <w:color w:val="auto"/>
                <w:sz w:val="24"/>
                <w:szCs w:val="24"/>
              </w:rPr>
            </w:pPr>
            <w:r>
              <w:rPr>
                <w:rFonts w:hint="eastAsia" w:ascii="宋体" w:hAnsi="宋体" w:cs="宋体"/>
                <w:color w:val="auto"/>
                <w:sz w:val="24"/>
                <w:szCs w:val="24"/>
              </w:rPr>
              <w:t>解冻后的肌肉呈均匀的红色，有光泽，脂肪呈白色或微黄色，肌肉外表微干或风干膜，或外表湿润，但都不粘手，良质冻牛肉的肌肉结构紧密，有坚实感，肌纤维韧性强。</w:t>
            </w:r>
          </w:p>
        </w:tc>
      </w:tr>
      <w:tr w14:paraId="2CBDCE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79678223">
            <w:pPr>
              <w:jc w:val="center"/>
              <w:rPr>
                <w:rFonts w:ascii="宋体" w:cs="Times New Roman"/>
                <w:color w:val="auto"/>
                <w:sz w:val="24"/>
                <w:szCs w:val="24"/>
              </w:rPr>
            </w:pPr>
            <w:r>
              <w:rPr>
                <w:rFonts w:ascii="宋体" w:hAnsi="宋体" w:cs="宋体"/>
                <w:color w:val="auto"/>
                <w:sz w:val="24"/>
                <w:szCs w:val="24"/>
              </w:rPr>
              <w:t>23</w:t>
            </w:r>
          </w:p>
        </w:tc>
        <w:tc>
          <w:tcPr>
            <w:tcW w:w="1336" w:type="dxa"/>
            <w:noWrap w:val="0"/>
            <w:vAlign w:val="center"/>
          </w:tcPr>
          <w:p w14:paraId="37A74AB0">
            <w:pPr>
              <w:jc w:val="center"/>
              <w:rPr>
                <w:rFonts w:ascii="宋体" w:cs="Times New Roman"/>
                <w:color w:val="auto"/>
                <w:sz w:val="24"/>
                <w:szCs w:val="24"/>
              </w:rPr>
            </w:pPr>
            <w:r>
              <w:rPr>
                <w:rFonts w:hint="eastAsia" w:ascii="宋体" w:hAnsi="宋体" w:cs="宋体"/>
                <w:color w:val="auto"/>
                <w:sz w:val="24"/>
                <w:szCs w:val="24"/>
              </w:rPr>
              <w:t>腊肉</w:t>
            </w:r>
          </w:p>
        </w:tc>
        <w:tc>
          <w:tcPr>
            <w:tcW w:w="6923" w:type="dxa"/>
            <w:noWrap w:val="0"/>
            <w:vAlign w:val="center"/>
          </w:tcPr>
          <w:p w14:paraId="79BB8474">
            <w:pPr>
              <w:rPr>
                <w:rFonts w:ascii="宋体" w:cs="Times New Roman"/>
                <w:color w:val="auto"/>
                <w:sz w:val="24"/>
                <w:szCs w:val="24"/>
              </w:rPr>
            </w:pPr>
            <w:r>
              <w:rPr>
                <w:rFonts w:hint="eastAsia" w:ascii="宋体" w:hAnsi="宋体" w:cs="宋体"/>
                <w:color w:val="auto"/>
                <w:sz w:val="24"/>
                <w:szCs w:val="24"/>
              </w:rPr>
              <w:t>有商标、牌号、产地、卫生检验合格证，符合《食品安全国家标准</w:t>
            </w:r>
            <w:r>
              <w:rPr>
                <w:rFonts w:ascii="宋体" w:hAnsi="宋体" w:cs="宋体"/>
                <w:color w:val="auto"/>
                <w:sz w:val="24"/>
                <w:szCs w:val="24"/>
              </w:rPr>
              <w:t xml:space="preserve"> </w:t>
            </w:r>
            <w:r>
              <w:rPr>
                <w:rFonts w:hint="eastAsia" w:ascii="宋体" w:hAnsi="宋体" w:cs="宋体"/>
                <w:color w:val="auto"/>
                <w:sz w:val="24"/>
                <w:szCs w:val="24"/>
              </w:rPr>
              <w:t>腌腊肉制品》（</w:t>
            </w:r>
            <w:r>
              <w:rPr>
                <w:rFonts w:ascii="宋体" w:hAnsi="宋体" w:cs="宋体"/>
                <w:color w:val="auto"/>
                <w:sz w:val="24"/>
                <w:szCs w:val="24"/>
              </w:rPr>
              <w:t>GB 2730-2015</w:t>
            </w:r>
            <w:r>
              <w:rPr>
                <w:rFonts w:hint="eastAsia" w:ascii="宋体" w:hAnsi="宋体" w:cs="宋体"/>
                <w:color w:val="auto"/>
                <w:sz w:val="24"/>
                <w:szCs w:val="24"/>
              </w:rPr>
              <w:t>）标准。表面干爽、肉呈鲜红色或暗红色，无霉变，无异味，脂肪透明或呈乳白色。</w:t>
            </w:r>
          </w:p>
        </w:tc>
      </w:tr>
      <w:tr w14:paraId="79E473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8E6A2F6">
            <w:pPr>
              <w:jc w:val="center"/>
              <w:rPr>
                <w:rFonts w:ascii="宋体" w:cs="Times New Roman"/>
                <w:color w:val="auto"/>
                <w:sz w:val="24"/>
                <w:szCs w:val="24"/>
              </w:rPr>
            </w:pPr>
            <w:r>
              <w:rPr>
                <w:rFonts w:ascii="宋体" w:hAnsi="宋体" w:cs="宋体"/>
                <w:color w:val="auto"/>
                <w:sz w:val="24"/>
                <w:szCs w:val="24"/>
              </w:rPr>
              <w:t>24</w:t>
            </w:r>
          </w:p>
        </w:tc>
        <w:tc>
          <w:tcPr>
            <w:tcW w:w="1336" w:type="dxa"/>
            <w:noWrap w:val="0"/>
            <w:vAlign w:val="center"/>
          </w:tcPr>
          <w:p w14:paraId="0810ECCA">
            <w:pPr>
              <w:jc w:val="center"/>
              <w:rPr>
                <w:rFonts w:ascii="宋体" w:cs="Times New Roman"/>
                <w:color w:val="auto"/>
                <w:sz w:val="24"/>
                <w:szCs w:val="24"/>
              </w:rPr>
            </w:pPr>
            <w:r>
              <w:rPr>
                <w:rFonts w:hint="eastAsia" w:ascii="宋体" w:hAnsi="宋体" w:cs="宋体"/>
                <w:color w:val="auto"/>
                <w:sz w:val="24"/>
                <w:szCs w:val="24"/>
              </w:rPr>
              <w:t>鸡脚</w:t>
            </w:r>
          </w:p>
        </w:tc>
        <w:tc>
          <w:tcPr>
            <w:tcW w:w="6923" w:type="dxa"/>
            <w:noWrap w:val="0"/>
            <w:vAlign w:val="center"/>
          </w:tcPr>
          <w:p w14:paraId="4C268302">
            <w:pPr>
              <w:rPr>
                <w:rFonts w:ascii="宋体" w:cs="Times New Roman"/>
                <w:color w:val="auto"/>
                <w:sz w:val="24"/>
                <w:szCs w:val="24"/>
              </w:rPr>
            </w:pPr>
            <w:r>
              <w:rPr>
                <w:rFonts w:hint="eastAsia" w:ascii="宋体" w:hAnsi="宋体" w:cs="宋体"/>
                <w:color w:val="auto"/>
                <w:sz w:val="24"/>
                <w:szCs w:val="24"/>
              </w:rPr>
              <w:t>交货以干净、新鲜、无异味，大小适合规格要求为标准。</w:t>
            </w:r>
          </w:p>
        </w:tc>
      </w:tr>
      <w:tr w14:paraId="2D8DCB8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D598A9C">
            <w:pPr>
              <w:jc w:val="center"/>
              <w:rPr>
                <w:rFonts w:ascii="宋体" w:cs="Times New Roman"/>
                <w:color w:val="auto"/>
                <w:sz w:val="24"/>
                <w:szCs w:val="24"/>
              </w:rPr>
            </w:pPr>
            <w:r>
              <w:rPr>
                <w:rFonts w:ascii="宋体" w:hAnsi="宋体" w:cs="宋体"/>
                <w:color w:val="auto"/>
                <w:sz w:val="24"/>
                <w:szCs w:val="24"/>
              </w:rPr>
              <w:t>25</w:t>
            </w:r>
          </w:p>
        </w:tc>
        <w:tc>
          <w:tcPr>
            <w:tcW w:w="1336" w:type="dxa"/>
            <w:noWrap w:val="0"/>
            <w:vAlign w:val="center"/>
          </w:tcPr>
          <w:p w14:paraId="2FD58A34">
            <w:pPr>
              <w:jc w:val="center"/>
              <w:rPr>
                <w:rFonts w:ascii="宋体" w:cs="Times New Roman"/>
                <w:color w:val="auto"/>
                <w:sz w:val="24"/>
                <w:szCs w:val="24"/>
              </w:rPr>
            </w:pPr>
            <w:r>
              <w:rPr>
                <w:rFonts w:hint="eastAsia" w:ascii="宋体" w:hAnsi="宋体" w:cs="宋体"/>
                <w:color w:val="auto"/>
                <w:sz w:val="24"/>
                <w:szCs w:val="24"/>
              </w:rPr>
              <w:t>猪肝</w:t>
            </w:r>
          </w:p>
        </w:tc>
        <w:tc>
          <w:tcPr>
            <w:tcW w:w="6923" w:type="dxa"/>
            <w:noWrap w:val="0"/>
            <w:vAlign w:val="center"/>
          </w:tcPr>
          <w:p w14:paraId="34D4A5E2">
            <w:pPr>
              <w:rPr>
                <w:rFonts w:ascii="宋体" w:cs="Times New Roman"/>
                <w:color w:val="auto"/>
                <w:sz w:val="24"/>
                <w:szCs w:val="24"/>
              </w:rPr>
            </w:pPr>
            <w:r>
              <w:rPr>
                <w:rFonts w:hint="eastAsia" w:ascii="宋体" w:hAnsi="宋体" w:cs="宋体"/>
                <w:color w:val="auto"/>
                <w:sz w:val="24"/>
                <w:szCs w:val="24"/>
              </w:rPr>
              <w:t>整体呈红褐色或棕黄色，有光泽，湿润，略有弹性，组织结实，肝叶完整，无脂肪，无寄生虫、炎症水疱、薄膜、无胆汁污染，略有鱼腥味。</w:t>
            </w:r>
          </w:p>
        </w:tc>
      </w:tr>
      <w:tr w14:paraId="42E7FE5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4244C04C">
            <w:pPr>
              <w:jc w:val="center"/>
              <w:rPr>
                <w:rFonts w:ascii="宋体" w:cs="Times New Roman"/>
                <w:color w:val="auto"/>
                <w:sz w:val="24"/>
                <w:szCs w:val="24"/>
              </w:rPr>
            </w:pPr>
            <w:r>
              <w:rPr>
                <w:rFonts w:ascii="宋体" w:hAnsi="宋体" w:cs="宋体"/>
                <w:color w:val="auto"/>
                <w:sz w:val="24"/>
                <w:szCs w:val="24"/>
              </w:rPr>
              <w:t>26</w:t>
            </w:r>
          </w:p>
        </w:tc>
        <w:tc>
          <w:tcPr>
            <w:tcW w:w="1336" w:type="dxa"/>
            <w:noWrap w:val="0"/>
            <w:vAlign w:val="center"/>
          </w:tcPr>
          <w:p w14:paraId="19E1C001">
            <w:pPr>
              <w:jc w:val="center"/>
              <w:rPr>
                <w:rFonts w:ascii="宋体" w:cs="Times New Roman"/>
                <w:color w:val="auto"/>
                <w:sz w:val="24"/>
                <w:szCs w:val="24"/>
              </w:rPr>
            </w:pPr>
            <w:r>
              <w:rPr>
                <w:rFonts w:hint="eastAsia" w:ascii="宋体" w:hAnsi="宋体" w:cs="宋体"/>
                <w:color w:val="auto"/>
                <w:sz w:val="24"/>
                <w:szCs w:val="24"/>
              </w:rPr>
              <w:t>鱼排</w:t>
            </w:r>
          </w:p>
        </w:tc>
        <w:tc>
          <w:tcPr>
            <w:tcW w:w="6923" w:type="dxa"/>
            <w:noWrap w:val="0"/>
            <w:vAlign w:val="center"/>
          </w:tcPr>
          <w:p w14:paraId="1A2EA968">
            <w:pPr>
              <w:rPr>
                <w:rFonts w:ascii="宋体" w:cs="Times New Roman"/>
                <w:color w:val="auto"/>
                <w:sz w:val="24"/>
                <w:szCs w:val="24"/>
              </w:rPr>
            </w:pPr>
            <w:r>
              <w:rPr>
                <w:rFonts w:hint="eastAsia" w:ascii="宋体" w:hAnsi="宋体" w:cs="宋体"/>
                <w:color w:val="auto"/>
                <w:sz w:val="24"/>
                <w:szCs w:val="24"/>
              </w:rPr>
              <w:t>无头尾，无鳃，无鳞，无内脏，具有鱼的自然颜色。</w:t>
            </w:r>
          </w:p>
        </w:tc>
      </w:tr>
      <w:tr w14:paraId="1970C6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5D8DA593">
            <w:pPr>
              <w:jc w:val="center"/>
              <w:rPr>
                <w:rFonts w:ascii="宋体" w:cs="Times New Roman"/>
                <w:color w:val="auto"/>
                <w:sz w:val="24"/>
                <w:szCs w:val="24"/>
              </w:rPr>
            </w:pPr>
            <w:r>
              <w:rPr>
                <w:rFonts w:ascii="宋体" w:hAnsi="宋体" w:cs="宋体"/>
                <w:color w:val="auto"/>
                <w:sz w:val="24"/>
                <w:szCs w:val="24"/>
              </w:rPr>
              <w:t>27</w:t>
            </w:r>
          </w:p>
        </w:tc>
        <w:tc>
          <w:tcPr>
            <w:tcW w:w="1336" w:type="dxa"/>
            <w:noWrap w:val="0"/>
            <w:vAlign w:val="center"/>
          </w:tcPr>
          <w:p w14:paraId="4D91964F">
            <w:pPr>
              <w:jc w:val="center"/>
              <w:rPr>
                <w:rFonts w:ascii="宋体" w:cs="Times New Roman"/>
                <w:color w:val="auto"/>
                <w:sz w:val="24"/>
                <w:szCs w:val="24"/>
              </w:rPr>
            </w:pPr>
            <w:r>
              <w:rPr>
                <w:rFonts w:hint="eastAsia" w:ascii="宋体" w:hAnsi="宋体" w:cs="宋体"/>
                <w:color w:val="auto"/>
                <w:sz w:val="24"/>
                <w:szCs w:val="24"/>
              </w:rPr>
              <w:t>猪头皮</w:t>
            </w:r>
          </w:p>
        </w:tc>
        <w:tc>
          <w:tcPr>
            <w:tcW w:w="6923" w:type="dxa"/>
            <w:noWrap w:val="0"/>
            <w:vAlign w:val="center"/>
          </w:tcPr>
          <w:p w14:paraId="3EA68473">
            <w:pPr>
              <w:rPr>
                <w:rFonts w:ascii="宋体" w:cs="Times New Roman"/>
                <w:color w:val="auto"/>
                <w:sz w:val="24"/>
                <w:szCs w:val="24"/>
              </w:rPr>
            </w:pPr>
            <w:r>
              <w:rPr>
                <w:rFonts w:hint="eastAsia" w:ascii="宋体" w:hAnsi="宋体" w:cs="宋体"/>
                <w:color w:val="auto"/>
                <w:sz w:val="24"/>
                <w:szCs w:val="24"/>
              </w:rPr>
              <w:t>猪脸肉，无嘴，无耳，无骨。</w:t>
            </w:r>
          </w:p>
        </w:tc>
      </w:tr>
      <w:tr w14:paraId="6A51FAF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741B81AB">
            <w:pPr>
              <w:jc w:val="center"/>
              <w:rPr>
                <w:rFonts w:ascii="宋体" w:cs="Times New Roman"/>
                <w:color w:val="auto"/>
                <w:sz w:val="24"/>
                <w:szCs w:val="24"/>
              </w:rPr>
            </w:pPr>
            <w:r>
              <w:rPr>
                <w:rFonts w:ascii="宋体" w:hAnsi="宋体" w:cs="宋体"/>
                <w:color w:val="auto"/>
                <w:sz w:val="24"/>
                <w:szCs w:val="24"/>
              </w:rPr>
              <w:t>28</w:t>
            </w:r>
          </w:p>
        </w:tc>
        <w:tc>
          <w:tcPr>
            <w:tcW w:w="1336" w:type="dxa"/>
            <w:noWrap w:val="0"/>
            <w:vAlign w:val="center"/>
          </w:tcPr>
          <w:p w14:paraId="1890F9EF">
            <w:pPr>
              <w:jc w:val="center"/>
              <w:rPr>
                <w:rFonts w:ascii="宋体" w:cs="Times New Roman"/>
                <w:color w:val="auto"/>
                <w:sz w:val="24"/>
                <w:szCs w:val="24"/>
              </w:rPr>
            </w:pPr>
            <w:r>
              <w:rPr>
                <w:rFonts w:hint="eastAsia" w:ascii="宋体" w:hAnsi="宋体" w:cs="宋体"/>
                <w:color w:val="auto"/>
                <w:sz w:val="24"/>
                <w:szCs w:val="24"/>
              </w:rPr>
              <w:t>猪心</w:t>
            </w:r>
          </w:p>
        </w:tc>
        <w:tc>
          <w:tcPr>
            <w:tcW w:w="6923" w:type="dxa"/>
            <w:noWrap w:val="0"/>
            <w:vAlign w:val="center"/>
          </w:tcPr>
          <w:p w14:paraId="1B161B0C">
            <w:pPr>
              <w:rPr>
                <w:rFonts w:ascii="宋体" w:cs="Times New Roman"/>
                <w:color w:val="auto"/>
                <w:sz w:val="24"/>
                <w:szCs w:val="24"/>
              </w:rPr>
            </w:pPr>
            <w:r>
              <w:rPr>
                <w:rFonts w:hint="eastAsia" w:ascii="宋体" w:hAnsi="宋体" w:cs="宋体"/>
                <w:color w:val="auto"/>
                <w:sz w:val="24"/>
                <w:szCs w:val="24"/>
              </w:rPr>
              <w:t>圆锥型，带心尖，心肌为红色或淡红色，结实而有弹性，无寄生虫、脓包炎症等病变。</w:t>
            </w:r>
          </w:p>
        </w:tc>
      </w:tr>
      <w:tr w14:paraId="295A90A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noWrap w:val="0"/>
            <w:vAlign w:val="center"/>
          </w:tcPr>
          <w:p w14:paraId="051B923E">
            <w:pPr>
              <w:jc w:val="center"/>
              <w:rPr>
                <w:rFonts w:ascii="宋体" w:cs="Times New Roman"/>
                <w:color w:val="auto"/>
                <w:sz w:val="24"/>
                <w:szCs w:val="24"/>
              </w:rPr>
            </w:pPr>
            <w:r>
              <w:rPr>
                <w:rFonts w:ascii="宋体" w:hAnsi="宋体" w:cs="宋体"/>
                <w:color w:val="auto"/>
                <w:sz w:val="24"/>
                <w:szCs w:val="24"/>
              </w:rPr>
              <w:t>29</w:t>
            </w:r>
          </w:p>
        </w:tc>
        <w:tc>
          <w:tcPr>
            <w:tcW w:w="1336" w:type="dxa"/>
            <w:noWrap w:val="0"/>
            <w:vAlign w:val="center"/>
          </w:tcPr>
          <w:p w14:paraId="69226F37">
            <w:pPr>
              <w:jc w:val="center"/>
              <w:rPr>
                <w:rFonts w:ascii="宋体" w:cs="Times New Roman"/>
                <w:color w:val="auto"/>
                <w:sz w:val="24"/>
                <w:szCs w:val="24"/>
              </w:rPr>
            </w:pPr>
            <w:r>
              <w:rPr>
                <w:rFonts w:hint="eastAsia" w:ascii="宋体" w:hAnsi="宋体" w:cs="宋体"/>
                <w:color w:val="auto"/>
                <w:sz w:val="24"/>
                <w:szCs w:val="24"/>
              </w:rPr>
              <w:t>光羊</w:t>
            </w:r>
          </w:p>
        </w:tc>
        <w:tc>
          <w:tcPr>
            <w:tcW w:w="6923" w:type="dxa"/>
            <w:noWrap w:val="0"/>
            <w:vAlign w:val="center"/>
          </w:tcPr>
          <w:p w14:paraId="05546E68">
            <w:pPr>
              <w:rPr>
                <w:rFonts w:ascii="宋体" w:cs="Times New Roman"/>
                <w:color w:val="auto"/>
                <w:sz w:val="24"/>
                <w:szCs w:val="24"/>
              </w:rPr>
            </w:pPr>
            <w:r>
              <w:rPr>
                <w:rFonts w:hint="eastAsia" w:ascii="宋体" w:hAnsi="宋体" w:cs="宋体"/>
                <w:color w:val="auto"/>
                <w:sz w:val="24"/>
                <w:szCs w:val="24"/>
              </w:rPr>
              <w:t>每条不低于</w:t>
            </w:r>
            <w:r>
              <w:rPr>
                <w:rFonts w:ascii="宋体" w:hAnsi="宋体" w:cs="宋体"/>
                <w:color w:val="auto"/>
                <w:sz w:val="24"/>
                <w:szCs w:val="24"/>
              </w:rPr>
              <w:t>10</w:t>
            </w:r>
            <w:r>
              <w:rPr>
                <w:rFonts w:hint="eastAsia" w:ascii="宋体" w:hAnsi="宋体" w:cs="宋体"/>
                <w:color w:val="auto"/>
                <w:sz w:val="24"/>
                <w:szCs w:val="24"/>
              </w:rPr>
              <w:t>公斤，去头、去蹄，去内脏，解冻后的肌肉呈均匀的红色，有光泽，脂肪呈白色或微黄色。肌肉外表不黏手，肉质紧密。</w:t>
            </w:r>
          </w:p>
        </w:tc>
      </w:tr>
      <w:tr w14:paraId="7BE39F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738" w:type="dxa"/>
            <w:tcBorders>
              <w:bottom w:val="single" w:color="auto" w:sz="12" w:space="0"/>
            </w:tcBorders>
            <w:noWrap w:val="0"/>
            <w:vAlign w:val="center"/>
          </w:tcPr>
          <w:p w14:paraId="71410B94">
            <w:pPr>
              <w:jc w:val="center"/>
              <w:rPr>
                <w:rFonts w:ascii="宋体" w:cs="Times New Roman"/>
                <w:color w:val="auto"/>
                <w:sz w:val="24"/>
                <w:szCs w:val="24"/>
              </w:rPr>
            </w:pPr>
            <w:r>
              <w:rPr>
                <w:rFonts w:ascii="宋体" w:hAnsi="宋体" w:cs="宋体"/>
                <w:color w:val="auto"/>
                <w:sz w:val="24"/>
                <w:szCs w:val="24"/>
              </w:rPr>
              <w:t>30</w:t>
            </w:r>
          </w:p>
        </w:tc>
        <w:tc>
          <w:tcPr>
            <w:tcW w:w="1336" w:type="dxa"/>
            <w:tcBorders>
              <w:bottom w:val="single" w:color="auto" w:sz="12" w:space="0"/>
            </w:tcBorders>
            <w:noWrap w:val="0"/>
            <w:vAlign w:val="center"/>
          </w:tcPr>
          <w:p w14:paraId="4884459E">
            <w:pPr>
              <w:jc w:val="center"/>
              <w:rPr>
                <w:rFonts w:ascii="宋体" w:cs="Times New Roman"/>
                <w:color w:val="auto"/>
                <w:sz w:val="24"/>
                <w:szCs w:val="24"/>
              </w:rPr>
            </w:pPr>
            <w:r>
              <w:rPr>
                <w:rFonts w:hint="eastAsia" w:ascii="宋体" w:hAnsi="宋体" w:cs="宋体"/>
                <w:color w:val="auto"/>
                <w:sz w:val="24"/>
                <w:szCs w:val="24"/>
              </w:rPr>
              <w:t>有皮花肉</w:t>
            </w:r>
          </w:p>
        </w:tc>
        <w:tc>
          <w:tcPr>
            <w:tcW w:w="6923" w:type="dxa"/>
            <w:tcBorders>
              <w:bottom w:val="single" w:color="auto" w:sz="12" w:space="0"/>
            </w:tcBorders>
            <w:noWrap w:val="0"/>
            <w:vAlign w:val="center"/>
          </w:tcPr>
          <w:p w14:paraId="513D9C8E">
            <w:pPr>
              <w:rPr>
                <w:rFonts w:ascii="宋体" w:cs="Times New Roman"/>
                <w:color w:val="auto"/>
                <w:sz w:val="24"/>
                <w:szCs w:val="24"/>
              </w:rPr>
            </w:pPr>
            <w:r>
              <w:rPr>
                <w:rFonts w:hint="eastAsia" w:ascii="宋体" w:hAnsi="宋体" w:cs="宋体"/>
                <w:color w:val="auto"/>
                <w:sz w:val="24"/>
                <w:szCs w:val="24"/>
              </w:rPr>
              <w:t>要求肥和瘦比例不大于</w:t>
            </w:r>
            <w:r>
              <w:rPr>
                <w:rFonts w:ascii="宋体" w:hAnsi="宋体" w:cs="宋体"/>
                <w:color w:val="auto"/>
                <w:sz w:val="24"/>
                <w:szCs w:val="24"/>
              </w:rPr>
              <w:t>1</w:t>
            </w:r>
            <w:r>
              <w:rPr>
                <w:rFonts w:hint="eastAsia" w:ascii="宋体" w:hAnsi="宋体" w:cs="宋体"/>
                <w:color w:val="auto"/>
                <w:sz w:val="24"/>
                <w:szCs w:val="24"/>
              </w:rPr>
              <w:t>：</w:t>
            </w:r>
            <w:r>
              <w:rPr>
                <w:rFonts w:ascii="宋体" w:hAnsi="宋体" w:cs="宋体"/>
                <w:color w:val="auto"/>
                <w:sz w:val="24"/>
                <w:szCs w:val="24"/>
              </w:rPr>
              <w:t>1.5</w:t>
            </w:r>
            <w:r>
              <w:rPr>
                <w:rFonts w:hint="eastAsia" w:ascii="宋体" w:hAnsi="宋体" w:cs="宋体"/>
                <w:color w:val="auto"/>
                <w:sz w:val="24"/>
                <w:szCs w:val="24"/>
              </w:rPr>
              <w:t>，肉呈均匀的红色，有光泽，肉质紧密，有坚实感；肉的外表及切面微湿润，不粘手，脂肪洁白。</w:t>
            </w:r>
          </w:p>
        </w:tc>
      </w:tr>
    </w:tbl>
    <w:p w14:paraId="1B9BBEF9">
      <w:pPr>
        <w:pStyle w:val="5"/>
        <w:adjustRightInd w:val="0"/>
        <w:snapToGrid w:val="0"/>
        <w:spacing w:line="360" w:lineRule="auto"/>
        <w:rPr>
          <w:rFonts w:hAnsi="宋体" w:cs="Times New Roman"/>
          <w:color w:val="auto"/>
          <w:sz w:val="24"/>
          <w:szCs w:val="24"/>
        </w:rPr>
      </w:pPr>
    </w:p>
    <w:p w14:paraId="459082E6">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供货肉重量须达到采购人的供货需求重量。</w:t>
      </w:r>
    </w:p>
    <w:p w14:paraId="3EB0CC8F">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生产（供应）企业的资质证明：</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6986"/>
      </w:tblGrid>
      <w:tr w14:paraId="4DF4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noWrap w:val="0"/>
            <w:vAlign w:val="center"/>
          </w:tcPr>
          <w:p w14:paraId="0ADEC1D1">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6986" w:type="dxa"/>
            <w:noWrap w:val="0"/>
            <w:vAlign w:val="center"/>
          </w:tcPr>
          <w:p w14:paraId="1FE8E748">
            <w:pPr>
              <w:jc w:val="center"/>
              <w:rPr>
                <w:rFonts w:ascii="宋体" w:cs="Times New Roman"/>
                <w:b/>
                <w:bCs/>
                <w:color w:val="auto"/>
                <w:sz w:val="24"/>
                <w:szCs w:val="24"/>
              </w:rPr>
            </w:pPr>
            <w:r>
              <w:rPr>
                <w:rFonts w:hint="eastAsia" w:ascii="宋体" w:hAnsi="宋体" w:cs="宋体"/>
                <w:b/>
                <w:bCs/>
                <w:color w:val="auto"/>
                <w:sz w:val="24"/>
                <w:szCs w:val="24"/>
              </w:rPr>
              <w:t>资质证明</w:t>
            </w:r>
          </w:p>
        </w:tc>
      </w:tr>
      <w:tr w14:paraId="7CEA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414" w:type="dxa"/>
            <w:noWrap w:val="0"/>
            <w:vAlign w:val="center"/>
          </w:tcPr>
          <w:p w14:paraId="36A5739F">
            <w:pPr>
              <w:jc w:val="center"/>
              <w:rPr>
                <w:rFonts w:ascii="宋体" w:cs="Times New Roman"/>
                <w:color w:val="auto"/>
                <w:sz w:val="24"/>
                <w:szCs w:val="24"/>
              </w:rPr>
            </w:pPr>
            <w:r>
              <w:rPr>
                <w:rFonts w:hint="eastAsia" w:ascii="宋体" w:hAnsi="宋体" w:cs="宋体"/>
                <w:color w:val="auto"/>
                <w:sz w:val="24"/>
                <w:szCs w:val="24"/>
              </w:rPr>
              <w:t>畜禽</w:t>
            </w:r>
          </w:p>
          <w:p w14:paraId="5FF89482">
            <w:pPr>
              <w:jc w:val="center"/>
              <w:rPr>
                <w:rFonts w:ascii="宋体" w:cs="Times New Roman"/>
                <w:color w:val="auto"/>
                <w:sz w:val="24"/>
                <w:szCs w:val="24"/>
              </w:rPr>
            </w:pPr>
            <w:r>
              <w:rPr>
                <w:rFonts w:hint="eastAsia" w:ascii="宋体" w:hAnsi="宋体" w:cs="宋体"/>
                <w:color w:val="auto"/>
                <w:sz w:val="24"/>
                <w:szCs w:val="24"/>
              </w:rPr>
              <w:t>鲜肉、冻肉类</w:t>
            </w:r>
          </w:p>
        </w:tc>
        <w:tc>
          <w:tcPr>
            <w:tcW w:w="6986" w:type="dxa"/>
            <w:noWrap w:val="0"/>
            <w:vAlign w:val="center"/>
          </w:tcPr>
          <w:p w14:paraId="116AD6D3">
            <w:pPr>
              <w:rPr>
                <w:rFonts w:ascii="宋体" w:cs="Times New Roman"/>
                <w:color w:val="auto"/>
                <w:sz w:val="24"/>
                <w:szCs w:val="24"/>
              </w:rPr>
            </w:pPr>
            <w:r>
              <w:rPr>
                <w:rFonts w:hint="eastAsia" w:ascii="宋体" w:hAnsi="宋体" w:cs="宋体"/>
                <w:color w:val="auto"/>
                <w:sz w:val="24"/>
                <w:szCs w:val="24"/>
              </w:rPr>
              <w:t>《企业法人营业执照》、《食品生产许可证》或《食品经营许可证》或《全国工业产品生产许可证》、《动物防疫合格证》</w:t>
            </w:r>
          </w:p>
        </w:tc>
      </w:tr>
      <w:tr w14:paraId="7A9B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14" w:type="dxa"/>
            <w:noWrap w:val="0"/>
            <w:vAlign w:val="center"/>
          </w:tcPr>
          <w:p w14:paraId="3DD68FD2">
            <w:pPr>
              <w:jc w:val="center"/>
              <w:rPr>
                <w:rFonts w:ascii="宋体" w:cs="Times New Roman"/>
                <w:color w:val="auto"/>
                <w:sz w:val="24"/>
                <w:szCs w:val="24"/>
              </w:rPr>
            </w:pPr>
            <w:r>
              <w:rPr>
                <w:rFonts w:hint="eastAsia" w:ascii="宋体" w:hAnsi="宋体" w:cs="宋体"/>
                <w:color w:val="auto"/>
                <w:sz w:val="24"/>
                <w:szCs w:val="24"/>
              </w:rPr>
              <w:t>肉制品</w:t>
            </w:r>
          </w:p>
        </w:tc>
        <w:tc>
          <w:tcPr>
            <w:tcW w:w="6986" w:type="dxa"/>
            <w:noWrap w:val="0"/>
            <w:vAlign w:val="center"/>
          </w:tcPr>
          <w:p w14:paraId="7C4C4BA1">
            <w:pPr>
              <w:rPr>
                <w:rFonts w:ascii="宋体" w:cs="Times New Roman"/>
                <w:color w:val="auto"/>
                <w:sz w:val="24"/>
                <w:szCs w:val="24"/>
              </w:rPr>
            </w:pPr>
            <w:r>
              <w:rPr>
                <w:rFonts w:hint="eastAsia" w:ascii="宋体" w:hAnsi="宋体" w:cs="宋体"/>
                <w:color w:val="auto"/>
                <w:sz w:val="24"/>
                <w:szCs w:val="24"/>
              </w:rPr>
              <w:t>《企业法人营业执照》、《食品经营许可证》或《食品生产许可证》或《全国工业产品生产许可证》</w:t>
            </w:r>
          </w:p>
        </w:tc>
      </w:tr>
    </w:tbl>
    <w:p w14:paraId="4C05EC67">
      <w:pPr>
        <w:pStyle w:val="5"/>
        <w:numPr>
          <w:ilvl w:val="0"/>
          <w:numId w:val="5"/>
        </w:numPr>
        <w:adjustRightInd w:val="0"/>
        <w:snapToGrid w:val="0"/>
        <w:spacing w:line="360" w:lineRule="auto"/>
        <w:rPr>
          <w:rFonts w:hAnsi="宋体" w:cs="Times New Roman"/>
          <w:color w:val="auto"/>
          <w:sz w:val="24"/>
          <w:szCs w:val="24"/>
        </w:rPr>
      </w:pPr>
      <w:r>
        <w:rPr>
          <w:rFonts w:hint="eastAsia" w:hAnsi="宋体"/>
          <w:color w:val="auto"/>
          <w:sz w:val="24"/>
          <w:szCs w:val="24"/>
        </w:rPr>
        <w:t>产品票证要求：</w:t>
      </w:r>
    </w:p>
    <w:tbl>
      <w:tblPr>
        <w:tblStyle w:val="8"/>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3300"/>
        <w:gridCol w:w="4891"/>
      </w:tblGrid>
      <w:tr w14:paraId="4288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noWrap w:val="0"/>
            <w:vAlign w:val="center"/>
          </w:tcPr>
          <w:p w14:paraId="0F5DA01D">
            <w:pPr>
              <w:jc w:val="center"/>
              <w:rPr>
                <w:rFonts w:ascii="宋体" w:cs="Times New Roman"/>
                <w:b/>
                <w:bCs/>
                <w:color w:val="auto"/>
                <w:sz w:val="24"/>
                <w:szCs w:val="24"/>
              </w:rPr>
            </w:pPr>
            <w:r>
              <w:rPr>
                <w:rFonts w:hint="eastAsia" w:ascii="宋体" w:hAnsi="宋体" w:cs="宋体"/>
                <w:b/>
                <w:bCs/>
                <w:color w:val="auto"/>
                <w:sz w:val="24"/>
                <w:szCs w:val="24"/>
              </w:rPr>
              <w:t>类别</w:t>
            </w:r>
          </w:p>
        </w:tc>
        <w:tc>
          <w:tcPr>
            <w:tcW w:w="3300" w:type="dxa"/>
            <w:noWrap w:val="0"/>
            <w:vAlign w:val="center"/>
          </w:tcPr>
          <w:p w14:paraId="61436ABB">
            <w:pPr>
              <w:jc w:val="center"/>
              <w:rPr>
                <w:rFonts w:ascii="宋体" w:cs="Times New Roman"/>
                <w:b/>
                <w:bCs/>
                <w:color w:val="auto"/>
                <w:sz w:val="24"/>
                <w:szCs w:val="24"/>
              </w:rPr>
            </w:pPr>
            <w:r>
              <w:rPr>
                <w:rFonts w:hint="eastAsia" w:ascii="宋体" w:hAnsi="宋体" w:cs="宋体"/>
                <w:b/>
                <w:bCs/>
                <w:color w:val="auto"/>
                <w:sz w:val="24"/>
                <w:szCs w:val="24"/>
              </w:rPr>
              <w:t>产品资质名称</w:t>
            </w:r>
          </w:p>
        </w:tc>
        <w:tc>
          <w:tcPr>
            <w:tcW w:w="4891" w:type="dxa"/>
            <w:noWrap w:val="0"/>
            <w:vAlign w:val="center"/>
          </w:tcPr>
          <w:p w14:paraId="07DADC2A">
            <w:pPr>
              <w:jc w:val="center"/>
              <w:rPr>
                <w:rFonts w:ascii="宋体" w:cs="Times New Roman"/>
                <w:b/>
                <w:bCs/>
                <w:color w:val="auto"/>
                <w:sz w:val="24"/>
                <w:szCs w:val="24"/>
              </w:rPr>
            </w:pPr>
            <w:r>
              <w:rPr>
                <w:rFonts w:hint="eastAsia" w:ascii="宋体" w:hAnsi="宋体" w:cs="宋体"/>
                <w:b/>
                <w:bCs/>
                <w:color w:val="auto"/>
                <w:sz w:val="24"/>
                <w:szCs w:val="24"/>
              </w:rPr>
              <w:t>验收索证要求</w:t>
            </w:r>
          </w:p>
        </w:tc>
      </w:tr>
      <w:tr w14:paraId="4FD5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restart"/>
            <w:noWrap w:val="0"/>
            <w:vAlign w:val="center"/>
          </w:tcPr>
          <w:p w14:paraId="7850B078">
            <w:pPr>
              <w:jc w:val="center"/>
              <w:rPr>
                <w:rFonts w:ascii="宋体" w:cs="Times New Roman"/>
                <w:color w:val="auto"/>
                <w:sz w:val="24"/>
                <w:szCs w:val="24"/>
              </w:rPr>
            </w:pPr>
            <w:r>
              <w:rPr>
                <w:rFonts w:hint="eastAsia" w:ascii="宋体" w:hAnsi="宋体" w:cs="宋体"/>
                <w:color w:val="auto"/>
                <w:sz w:val="24"/>
                <w:szCs w:val="24"/>
              </w:rPr>
              <w:t>猪、牛肉类</w:t>
            </w:r>
          </w:p>
          <w:p w14:paraId="387237C9">
            <w:pPr>
              <w:jc w:val="center"/>
              <w:rPr>
                <w:rFonts w:ascii="宋体" w:cs="Times New Roman"/>
                <w:color w:val="auto"/>
                <w:sz w:val="24"/>
                <w:szCs w:val="24"/>
              </w:rPr>
            </w:pPr>
            <w:r>
              <w:rPr>
                <w:rFonts w:hint="eastAsia" w:ascii="宋体" w:hAnsi="宋体" w:cs="宋体"/>
                <w:color w:val="auto"/>
                <w:sz w:val="24"/>
                <w:szCs w:val="24"/>
              </w:rPr>
              <w:t>家禽类</w:t>
            </w:r>
          </w:p>
        </w:tc>
        <w:tc>
          <w:tcPr>
            <w:tcW w:w="3300" w:type="dxa"/>
            <w:noWrap w:val="0"/>
            <w:vAlign w:val="center"/>
          </w:tcPr>
          <w:p w14:paraId="55EAE4D6">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、《出县境动物产品检疫合格证》</w:t>
            </w:r>
          </w:p>
        </w:tc>
        <w:tc>
          <w:tcPr>
            <w:tcW w:w="4891" w:type="dxa"/>
            <w:noWrap w:val="0"/>
            <w:vAlign w:val="center"/>
          </w:tcPr>
          <w:p w14:paraId="00642EFB">
            <w:pPr>
              <w:rPr>
                <w:rFonts w:ascii="宋体" w:cs="Times New Roman"/>
                <w:color w:val="auto"/>
                <w:sz w:val="24"/>
                <w:szCs w:val="24"/>
              </w:rPr>
            </w:pPr>
            <w:r>
              <w:rPr>
                <w:rFonts w:hint="eastAsia" w:ascii="宋体" w:hAnsi="宋体" w:cs="宋体"/>
                <w:color w:val="auto"/>
                <w:sz w:val="24"/>
                <w:szCs w:val="24"/>
              </w:rPr>
              <w:t>由政府动植物检疫部门出具，用于跨区销售检查</w:t>
            </w:r>
          </w:p>
        </w:tc>
      </w:tr>
      <w:tr w14:paraId="7074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continue"/>
            <w:noWrap w:val="0"/>
            <w:vAlign w:val="center"/>
          </w:tcPr>
          <w:p w14:paraId="357EB56D">
            <w:pPr>
              <w:jc w:val="center"/>
              <w:rPr>
                <w:rFonts w:ascii="宋体" w:cs="Times New Roman"/>
                <w:color w:val="auto"/>
                <w:sz w:val="24"/>
                <w:szCs w:val="24"/>
              </w:rPr>
            </w:pPr>
          </w:p>
        </w:tc>
        <w:tc>
          <w:tcPr>
            <w:tcW w:w="3300" w:type="dxa"/>
            <w:noWrap w:val="0"/>
            <w:vAlign w:val="center"/>
          </w:tcPr>
          <w:p w14:paraId="72067DA5">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、《产品合格证》</w:t>
            </w:r>
          </w:p>
        </w:tc>
        <w:tc>
          <w:tcPr>
            <w:tcW w:w="4891" w:type="dxa"/>
            <w:noWrap w:val="0"/>
            <w:vAlign w:val="center"/>
          </w:tcPr>
          <w:p w14:paraId="664D3BB4">
            <w:pPr>
              <w:rPr>
                <w:rFonts w:ascii="宋体" w:cs="Times New Roman"/>
                <w:color w:val="auto"/>
                <w:sz w:val="24"/>
                <w:szCs w:val="24"/>
              </w:rPr>
            </w:pPr>
            <w:r>
              <w:rPr>
                <w:rFonts w:hint="eastAsia" w:ascii="宋体" w:hAnsi="宋体" w:cs="宋体"/>
                <w:color w:val="auto"/>
                <w:sz w:val="24"/>
                <w:szCs w:val="24"/>
              </w:rPr>
              <w:t>交货时提供本批次产品的出厂（库）检验合格证明，随车同行。</w:t>
            </w:r>
          </w:p>
        </w:tc>
      </w:tr>
      <w:tr w14:paraId="4B83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restart"/>
            <w:noWrap w:val="0"/>
            <w:vAlign w:val="center"/>
          </w:tcPr>
          <w:p w14:paraId="676D1C30">
            <w:pPr>
              <w:jc w:val="center"/>
              <w:rPr>
                <w:rFonts w:ascii="宋体" w:cs="Times New Roman"/>
                <w:color w:val="auto"/>
                <w:sz w:val="24"/>
                <w:szCs w:val="24"/>
              </w:rPr>
            </w:pPr>
            <w:r>
              <w:rPr>
                <w:rFonts w:hint="eastAsia" w:ascii="宋体" w:hAnsi="宋体" w:cs="宋体"/>
                <w:color w:val="auto"/>
                <w:sz w:val="24"/>
                <w:szCs w:val="24"/>
              </w:rPr>
              <w:t>肉制品</w:t>
            </w:r>
          </w:p>
        </w:tc>
        <w:tc>
          <w:tcPr>
            <w:tcW w:w="3300" w:type="dxa"/>
            <w:noWrap w:val="0"/>
            <w:vAlign w:val="center"/>
          </w:tcPr>
          <w:p w14:paraId="5C0E5638">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、《卫生检疫报告》</w:t>
            </w:r>
          </w:p>
        </w:tc>
        <w:tc>
          <w:tcPr>
            <w:tcW w:w="4891" w:type="dxa"/>
            <w:noWrap w:val="0"/>
            <w:vAlign w:val="center"/>
          </w:tcPr>
          <w:p w14:paraId="7B88AAF8">
            <w:pPr>
              <w:rPr>
                <w:rFonts w:ascii="宋体" w:cs="Times New Roman"/>
                <w:color w:val="auto"/>
                <w:sz w:val="24"/>
                <w:szCs w:val="24"/>
              </w:rPr>
            </w:pPr>
            <w:r>
              <w:rPr>
                <w:rFonts w:hint="eastAsia" w:ascii="宋体" w:hAnsi="宋体" w:cs="宋体"/>
                <w:color w:val="auto"/>
                <w:sz w:val="24"/>
                <w:szCs w:val="24"/>
              </w:rPr>
              <w:t>由政府疾控部门或卫生检验部门出具（半年内有效）</w:t>
            </w:r>
          </w:p>
        </w:tc>
      </w:tr>
      <w:tr w14:paraId="1347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9" w:type="dxa"/>
            <w:vMerge w:val="continue"/>
            <w:noWrap w:val="0"/>
            <w:vAlign w:val="center"/>
          </w:tcPr>
          <w:p w14:paraId="39F1B53A">
            <w:pPr>
              <w:jc w:val="center"/>
              <w:rPr>
                <w:rFonts w:ascii="宋体" w:cs="Times New Roman"/>
                <w:color w:val="auto"/>
                <w:sz w:val="24"/>
                <w:szCs w:val="24"/>
              </w:rPr>
            </w:pPr>
          </w:p>
        </w:tc>
        <w:tc>
          <w:tcPr>
            <w:tcW w:w="3300" w:type="dxa"/>
            <w:noWrap w:val="0"/>
            <w:vAlign w:val="center"/>
          </w:tcPr>
          <w:p w14:paraId="12A66181">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、《产品合格证》</w:t>
            </w:r>
          </w:p>
        </w:tc>
        <w:tc>
          <w:tcPr>
            <w:tcW w:w="4891" w:type="dxa"/>
            <w:noWrap w:val="0"/>
            <w:vAlign w:val="center"/>
          </w:tcPr>
          <w:p w14:paraId="40B7FFCF">
            <w:pPr>
              <w:rPr>
                <w:rFonts w:ascii="宋体" w:cs="Times New Roman"/>
                <w:color w:val="auto"/>
                <w:sz w:val="24"/>
                <w:szCs w:val="24"/>
              </w:rPr>
            </w:pPr>
            <w:r>
              <w:rPr>
                <w:rFonts w:hint="eastAsia" w:ascii="宋体" w:hAnsi="宋体" w:cs="宋体"/>
                <w:color w:val="auto"/>
                <w:sz w:val="24"/>
                <w:szCs w:val="24"/>
              </w:rPr>
              <w:t>交货时提供本批次产品的出厂（库）检验合格证明，随车同行。</w:t>
            </w:r>
          </w:p>
        </w:tc>
      </w:tr>
    </w:tbl>
    <w:p w14:paraId="75B040D2">
      <w:pPr>
        <w:pStyle w:val="5"/>
        <w:adjustRightInd w:val="0"/>
        <w:snapToGrid w:val="0"/>
        <w:spacing w:line="360" w:lineRule="auto"/>
        <w:rPr>
          <w:rFonts w:hAnsi="宋体" w:cs="Times New Roman"/>
          <w:b/>
          <w:bCs/>
          <w:color w:val="auto"/>
          <w:sz w:val="24"/>
          <w:szCs w:val="24"/>
        </w:rPr>
      </w:pPr>
      <w:r>
        <w:rPr>
          <w:rFonts w:hAnsi="宋体"/>
          <w:color w:val="auto"/>
          <w:sz w:val="24"/>
          <w:szCs w:val="24"/>
        </w:rPr>
        <w:t>1.4.</w:t>
      </w:r>
      <w:r>
        <w:rPr>
          <w:rFonts w:hint="eastAsia" w:hAnsi="宋体"/>
          <w:color w:val="auto"/>
          <w:sz w:val="24"/>
          <w:szCs w:val="24"/>
        </w:rPr>
        <w:t>三鸟类供货及质量要求（包括但不限于以下内容）</w:t>
      </w:r>
    </w:p>
    <w:p w14:paraId="774CB7AB">
      <w:pPr>
        <w:tabs>
          <w:tab w:val="left" w:pos="709"/>
        </w:tabs>
        <w:adjustRightInd w:val="0"/>
        <w:snapToGrid w:val="0"/>
        <w:spacing w:line="360" w:lineRule="auto"/>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）具有当天卫生监督部门发放的“动物检疫合格证明”。</w:t>
      </w:r>
    </w:p>
    <w:p w14:paraId="4BA4A347">
      <w:pPr>
        <w:tabs>
          <w:tab w:val="left" w:pos="709"/>
        </w:tabs>
        <w:adjustRightInd w:val="0"/>
        <w:snapToGrid w:val="0"/>
        <w:spacing w:line="360" w:lineRule="auto"/>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）肉质新鲜柔软有光泽，质地紧密，脂肪呈白色或淡黄色，肉质细腻、无腐烂异味，</w:t>
      </w:r>
    </w:p>
    <w:p w14:paraId="69813F36">
      <w:pPr>
        <w:tabs>
          <w:tab w:val="left" w:pos="709"/>
        </w:tabs>
        <w:adjustRightInd w:val="0"/>
        <w:snapToGrid w:val="0"/>
        <w:spacing w:line="360" w:lineRule="auto"/>
        <w:jc w:val="left"/>
        <w:rPr>
          <w:rFonts w:ascii="宋体" w:cs="Times New Roman"/>
          <w:b/>
          <w:bCs/>
          <w:color w:val="auto"/>
          <w:sz w:val="24"/>
          <w:szCs w:val="24"/>
        </w:rPr>
      </w:pPr>
      <w:r>
        <w:rPr>
          <w:rFonts w:ascii="宋体" w:hAnsi="宋体" w:cs="宋体"/>
          <w:color w:val="auto"/>
          <w:sz w:val="24"/>
          <w:szCs w:val="24"/>
        </w:rPr>
        <w:t>3</w:t>
      </w:r>
      <w:r>
        <w:rPr>
          <w:rFonts w:hint="eastAsia" w:ascii="宋体" w:hAnsi="宋体" w:cs="宋体"/>
          <w:color w:val="auto"/>
          <w:sz w:val="24"/>
          <w:szCs w:val="24"/>
        </w:rPr>
        <w:t>）肉体结实，内脏清掏干净，肉质弹性足无明显渗出液体，总体无粘液。</w:t>
      </w:r>
    </w:p>
    <w:p w14:paraId="1C8DFAE1">
      <w:pPr>
        <w:tabs>
          <w:tab w:val="left" w:pos="709"/>
        </w:tabs>
        <w:adjustRightInd w:val="0"/>
        <w:snapToGrid w:val="0"/>
        <w:spacing w:line="360" w:lineRule="auto"/>
        <w:jc w:val="left"/>
        <w:rPr>
          <w:rFonts w:ascii="宋体" w:cs="Times New Roman"/>
          <w:b/>
          <w:bCs/>
          <w:color w:val="auto"/>
          <w:sz w:val="24"/>
          <w:szCs w:val="24"/>
        </w:rPr>
      </w:pPr>
      <w:r>
        <w:rPr>
          <w:rFonts w:ascii="宋体" w:hAnsi="宋体" w:cs="宋体"/>
          <w:color w:val="auto"/>
          <w:sz w:val="24"/>
          <w:szCs w:val="24"/>
        </w:rPr>
        <w:t>4</w:t>
      </w:r>
      <w:r>
        <w:rPr>
          <w:rFonts w:hint="eastAsia" w:ascii="宋体" w:hAnsi="宋体" w:cs="宋体"/>
          <w:color w:val="auto"/>
          <w:sz w:val="24"/>
          <w:szCs w:val="24"/>
        </w:rPr>
        <w:t>）来源可靠（可提供合法的供货途径）放心，无毒、无害、无污染。</w:t>
      </w:r>
    </w:p>
    <w:p w14:paraId="4E9BE271">
      <w:pPr>
        <w:pStyle w:val="5"/>
        <w:adjustRightInd w:val="0"/>
        <w:snapToGrid w:val="0"/>
        <w:spacing w:line="360" w:lineRule="auto"/>
        <w:rPr>
          <w:rFonts w:hAnsi="宋体" w:cs="Times New Roman"/>
          <w:b/>
          <w:bCs/>
          <w:color w:val="auto"/>
          <w:sz w:val="24"/>
          <w:szCs w:val="24"/>
        </w:rPr>
      </w:pPr>
      <w:r>
        <w:rPr>
          <w:rFonts w:hAnsi="宋体"/>
          <w:b/>
          <w:bCs/>
          <w:color w:val="auto"/>
          <w:sz w:val="24"/>
          <w:szCs w:val="24"/>
        </w:rPr>
        <w:t>1.5.</w:t>
      </w:r>
      <w:r>
        <w:rPr>
          <w:rFonts w:hint="eastAsia" w:hAnsi="宋体"/>
          <w:b/>
          <w:bCs/>
          <w:color w:val="auto"/>
          <w:sz w:val="24"/>
          <w:szCs w:val="24"/>
        </w:rPr>
        <w:t>其他类别主要商品供货要求（包括但不限于以下内容）</w:t>
      </w:r>
    </w:p>
    <w:p w14:paraId="21E9D81F">
      <w:pPr>
        <w:pStyle w:val="5"/>
        <w:adjustRightInd w:val="0"/>
        <w:snapToGrid w:val="0"/>
        <w:spacing w:line="360" w:lineRule="auto"/>
        <w:rPr>
          <w:rFonts w:hAnsi="宋体" w:cs="Times New Roman"/>
          <w:color w:val="auto"/>
          <w:sz w:val="24"/>
          <w:szCs w:val="24"/>
        </w:rPr>
      </w:pPr>
      <w:r>
        <w:rPr>
          <w:rFonts w:hAnsi="宋体"/>
          <w:color w:val="auto"/>
          <w:sz w:val="24"/>
          <w:szCs w:val="24"/>
        </w:rPr>
        <w:t>1</w:t>
      </w:r>
      <w:r>
        <w:rPr>
          <w:rFonts w:hint="eastAsia" w:hAnsi="宋体"/>
          <w:color w:val="auto"/>
          <w:sz w:val="24"/>
          <w:szCs w:val="24"/>
        </w:rPr>
        <w:t>）腊制品类：色泽鲜明，肌肉呈红色，脂肪透明呈乳白色，肉身干燥结实，有固有气味。没有添加人工色素以及化学物质。</w:t>
      </w:r>
    </w:p>
    <w:p w14:paraId="1597A52B">
      <w:pPr>
        <w:pStyle w:val="5"/>
        <w:adjustRightInd w:val="0"/>
        <w:snapToGrid w:val="0"/>
        <w:spacing w:line="360" w:lineRule="auto"/>
        <w:rPr>
          <w:rFonts w:hAnsi="宋体" w:cs="Times New Roman"/>
          <w:b/>
          <w:bCs/>
          <w:color w:val="auto"/>
          <w:sz w:val="24"/>
          <w:szCs w:val="24"/>
        </w:rPr>
      </w:pPr>
      <w:r>
        <w:rPr>
          <w:rFonts w:hAnsi="宋体"/>
          <w:color w:val="auto"/>
          <w:sz w:val="24"/>
          <w:szCs w:val="24"/>
        </w:rPr>
        <w:t>2</w:t>
      </w:r>
      <w:r>
        <w:rPr>
          <w:rFonts w:hint="eastAsia" w:hAnsi="宋体"/>
          <w:color w:val="auto"/>
          <w:sz w:val="24"/>
          <w:szCs w:val="24"/>
        </w:rPr>
        <w:t>）熟食类：肉色有光泽，红色均匀，脂肪通透色，具有鲜肉固有的气味，无异味。必须来源于正规店家，保证为当天生产的食材，并符合该类食材的行业标准。</w:t>
      </w:r>
    </w:p>
    <w:p w14:paraId="707E60D2">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2.</w:t>
      </w:r>
      <w:r>
        <w:rPr>
          <w:rFonts w:hint="eastAsia" w:hAnsi="宋体"/>
          <w:b/>
          <w:bCs/>
          <w:color w:val="auto"/>
          <w:sz w:val="24"/>
          <w:szCs w:val="24"/>
        </w:rPr>
        <w:t>副食品及粮油</w:t>
      </w:r>
    </w:p>
    <w:p w14:paraId="492C141D">
      <w:pPr>
        <w:pStyle w:val="5"/>
        <w:tabs>
          <w:tab w:val="left" w:pos="426"/>
          <w:tab w:val="left" w:pos="709"/>
        </w:tabs>
        <w:adjustRightInd w:val="0"/>
        <w:snapToGrid w:val="0"/>
        <w:spacing w:line="360" w:lineRule="auto"/>
        <w:ind w:left="-361" w:leftChars="-172"/>
        <w:rPr>
          <w:rFonts w:hAnsi="宋体" w:cs="Times New Roman"/>
          <w:b/>
          <w:bCs/>
          <w:color w:val="auto"/>
          <w:sz w:val="24"/>
          <w:szCs w:val="24"/>
        </w:rPr>
      </w:pPr>
      <w:r>
        <w:rPr>
          <w:rFonts w:hAnsi="宋体"/>
          <w:b/>
          <w:bCs/>
          <w:color w:val="auto"/>
          <w:sz w:val="24"/>
          <w:szCs w:val="24"/>
        </w:rPr>
        <w:t>2.1.</w:t>
      </w:r>
      <w:r>
        <w:rPr>
          <w:rFonts w:hint="eastAsia" w:hAnsi="宋体"/>
          <w:b/>
          <w:bCs/>
          <w:color w:val="auto"/>
          <w:sz w:val="24"/>
          <w:szCs w:val="24"/>
        </w:rPr>
        <w:t>副食品主要商品供货要求（包括但不限于以下内容）</w:t>
      </w:r>
    </w:p>
    <w:p w14:paraId="3904ED1F">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必须选用符合国家食品卫生法规相关标准的商品，选用无毒、无害、无污染、可朔源的食品。掺假、掺杂食品坚决不能使用；</w:t>
      </w:r>
    </w:p>
    <w:p w14:paraId="6092EC54">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对照检查所送物资品牌、规格是否符合要求，对有包装的食品，检查包装是否完整，有无破损，查看食品包装标签应符合《食品安全国家标准预包装食品标签通则》（</w:t>
      </w:r>
      <w:r>
        <w:rPr>
          <w:rFonts w:ascii="宋体" w:hAnsi="宋体" w:cs="宋体"/>
          <w:color w:val="auto"/>
          <w:sz w:val="24"/>
          <w:szCs w:val="24"/>
        </w:rPr>
        <w:t>GB7718</w:t>
      </w:r>
      <w:r>
        <w:rPr>
          <w:rFonts w:hint="eastAsia" w:ascii="宋体" w:hAnsi="宋体" w:cs="宋体"/>
          <w:color w:val="auto"/>
          <w:sz w:val="24"/>
          <w:szCs w:val="24"/>
        </w:rPr>
        <w:t>）要求（如国家出台或修改了相关标准，则按最新出台的标准执行），包括食品名称、配料表、净含量、规格、生产者（或）经销者的名称、地址和联系方式、生产日期和保质期、贮存条件、食品生产许可证编号、产品标准代号等内容；</w:t>
      </w:r>
    </w:p>
    <w:p w14:paraId="29BB7272">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副食品表面外观新鲜、完整，无霉变异味，无砂粒杂质，无虫痕鼠咬，无虫尸鼠粪等不洁卫生问题；</w:t>
      </w:r>
    </w:p>
    <w:p w14:paraId="5C71D347">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通过感官鉴别包装内产品及无包装产品，依靠视觉、嗅觉、味觉、触觉等鉴定食品的外观形态、色泽、气味、滋味和硬度</w:t>
      </w:r>
      <w:r>
        <w:rPr>
          <w:rFonts w:ascii="宋体" w:hAnsi="宋体" w:cs="宋体"/>
          <w:color w:val="auto"/>
          <w:sz w:val="24"/>
          <w:szCs w:val="24"/>
        </w:rPr>
        <w:t>(</w:t>
      </w:r>
      <w:r>
        <w:rPr>
          <w:rFonts w:hint="eastAsia" w:ascii="宋体" w:hAnsi="宋体" w:cs="宋体"/>
          <w:color w:val="auto"/>
          <w:sz w:val="24"/>
          <w:szCs w:val="24"/>
        </w:rPr>
        <w:t>稠度</w:t>
      </w:r>
      <w:r>
        <w:rPr>
          <w:rFonts w:ascii="宋体" w:hAnsi="宋体" w:cs="宋体"/>
          <w:color w:val="auto"/>
          <w:sz w:val="24"/>
          <w:szCs w:val="24"/>
        </w:rPr>
        <w:t>)</w:t>
      </w:r>
      <w:r>
        <w:rPr>
          <w:rFonts w:hint="eastAsia" w:ascii="宋体" w:hAnsi="宋体" w:cs="宋体"/>
          <w:color w:val="auto"/>
          <w:sz w:val="24"/>
          <w:szCs w:val="24"/>
        </w:rPr>
        <w:t>是否符合质量要求。有保质期限的商品剩余保存期不得少于原有保质期的三分之二；</w:t>
      </w:r>
    </w:p>
    <w:p w14:paraId="00B0B6E6">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豆制品由正规厂家加工，保证新鲜，不含色素、有毒有害添加剂等；</w:t>
      </w:r>
    </w:p>
    <w:p w14:paraId="03B02BAB">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中标供应商保证所提供的非酒精类饮料（不含饮用水）的多样性和季节性，以保证新鲜感。奶制品类饮料生产日期至送货日期不得超过</w:t>
      </w:r>
      <w:r>
        <w:rPr>
          <w:rFonts w:ascii="宋体" w:hAnsi="宋体" w:cs="宋体"/>
          <w:color w:val="auto"/>
          <w:sz w:val="24"/>
          <w:szCs w:val="24"/>
        </w:rPr>
        <w:t>60</w:t>
      </w:r>
      <w:r>
        <w:rPr>
          <w:rFonts w:hint="eastAsia" w:ascii="宋体" w:hAnsi="宋体" w:cs="宋体"/>
          <w:color w:val="auto"/>
          <w:sz w:val="24"/>
          <w:szCs w:val="24"/>
        </w:rPr>
        <w:t>日，其他非酒精类饮料生产日期至送货日期不得超过</w:t>
      </w:r>
      <w:r>
        <w:rPr>
          <w:rFonts w:ascii="宋体" w:hAnsi="宋体" w:cs="宋体"/>
          <w:color w:val="auto"/>
          <w:sz w:val="24"/>
          <w:szCs w:val="24"/>
        </w:rPr>
        <w:t>120</w:t>
      </w:r>
      <w:r>
        <w:rPr>
          <w:rFonts w:hint="eastAsia" w:ascii="宋体" w:hAnsi="宋体" w:cs="宋体"/>
          <w:color w:val="auto"/>
          <w:sz w:val="24"/>
          <w:szCs w:val="24"/>
        </w:rPr>
        <w:t>日。</w:t>
      </w:r>
    </w:p>
    <w:p w14:paraId="34C60DFE">
      <w:pPr>
        <w:numPr>
          <w:ilvl w:val="0"/>
          <w:numId w:val="6"/>
        </w:numPr>
        <w:tabs>
          <w:tab w:val="left" w:pos="709"/>
        </w:tabs>
        <w:adjustRightInd w:val="0"/>
        <w:snapToGrid w:val="0"/>
        <w:spacing w:line="360" w:lineRule="auto"/>
        <w:jc w:val="left"/>
        <w:rPr>
          <w:rFonts w:ascii="宋体" w:cs="Times New Roman"/>
          <w:color w:val="auto"/>
          <w:sz w:val="24"/>
          <w:szCs w:val="24"/>
        </w:rPr>
      </w:pPr>
      <w:r>
        <w:rPr>
          <w:rFonts w:hint="eastAsia" w:ascii="宋体" w:hAnsi="宋体" w:cs="宋体"/>
          <w:color w:val="auto"/>
          <w:sz w:val="24"/>
          <w:szCs w:val="24"/>
        </w:rPr>
        <w:t>部分副食品质量要求：</w:t>
      </w:r>
    </w:p>
    <w:tbl>
      <w:tblPr>
        <w:tblStyle w:val="8"/>
        <w:tblW w:w="909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452"/>
        <w:gridCol w:w="6943"/>
      </w:tblGrid>
      <w:tr w14:paraId="6E08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96" w:type="dxa"/>
            <w:noWrap w:val="0"/>
            <w:vAlign w:val="center"/>
          </w:tcPr>
          <w:p w14:paraId="2B171B51">
            <w:pPr>
              <w:jc w:val="center"/>
              <w:rPr>
                <w:rFonts w:ascii="宋体" w:cs="Times New Roman"/>
                <w:color w:val="auto"/>
                <w:sz w:val="24"/>
                <w:szCs w:val="24"/>
              </w:rPr>
            </w:pPr>
            <w:r>
              <w:rPr>
                <w:rFonts w:hint="eastAsia" w:ascii="宋体" w:hAnsi="宋体" w:cs="宋体"/>
                <w:color w:val="auto"/>
                <w:sz w:val="24"/>
                <w:szCs w:val="24"/>
              </w:rPr>
              <w:t>序号</w:t>
            </w:r>
          </w:p>
        </w:tc>
        <w:tc>
          <w:tcPr>
            <w:tcW w:w="1452" w:type="dxa"/>
            <w:noWrap w:val="0"/>
            <w:vAlign w:val="center"/>
          </w:tcPr>
          <w:p w14:paraId="0C19F7E6">
            <w:pPr>
              <w:jc w:val="center"/>
              <w:rPr>
                <w:rFonts w:ascii="宋体" w:cs="Times New Roman"/>
                <w:color w:val="auto"/>
                <w:sz w:val="24"/>
                <w:szCs w:val="24"/>
              </w:rPr>
            </w:pPr>
            <w:r>
              <w:rPr>
                <w:rFonts w:hint="eastAsia" w:ascii="宋体" w:hAnsi="宋体" w:cs="宋体"/>
                <w:color w:val="auto"/>
                <w:sz w:val="24"/>
                <w:szCs w:val="24"/>
              </w:rPr>
              <w:t>货品名称</w:t>
            </w:r>
          </w:p>
        </w:tc>
        <w:tc>
          <w:tcPr>
            <w:tcW w:w="6943" w:type="dxa"/>
            <w:noWrap w:val="0"/>
            <w:vAlign w:val="center"/>
          </w:tcPr>
          <w:p w14:paraId="28C2BDCB">
            <w:pPr>
              <w:jc w:val="center"/>
              <w:rPr>
                <w:rFonts w:ascii="宋体" w:cs="Times New Roman"/>
                <w:color w:val="auto"/>
                <w:sz w:val="24"/>
                <w:szCs w:val="24"/>
              </w:rPr>
            </w:pPr>
            <w:r>
              <w:rPr>
                <w:rFonts w:hint="eastAsia" w:ascii="宋体" w:hAnsi="宋体" w:cs="宋体"/>
                <w:color w:val="auto"/>
                <w:sz w:val="24"/>
                <w:szCs w:val="24"/>
              </w:rPr>
              <w:t>质量要求</w:t>
            </w:r>
          </w:p>
        </w:tc>
      </w:tr>
      <w:tr w14:paraId="1F76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08CA2BC">
            <w:pPr>
              <w:jc w:val="center"/>
              <w:rPr>
                <w:rFonts w:ascii="宋体" w:cs="Times New Roman"/>
                <w:color w:val="auto"/>
                <w:sz w:val="24"/>
                <w:szCs w:val="24"/>
              </w:rPr>
            </w:pPr>
            <w:r>
              <w:rPr>
                <w:rFonts w:ascii="宋体" w:hAnsi="宋体" w:cs="宋体"/>
                <w:color w:val="auto"/>
                <w:sz w:val="24"/>
                <w:szCs w:val="24"/>
              </w:rPr>
              <w:t>1</w:t>
            </w:r>
          </w:p>
        </w:tc>
        <w:tc>
          <w:tcPr>
            <w:tcW w:w="1452" w:type="dxa"/>
            <w:noWrap w:val="0"/>
            <w:vAlign w:val="center"/>
          </w:tcPr>
          <w:p w14:paraId="14F1C7B5">
            <w:pPr>
              <w:jc w:val="center"/>
              <w:rPr>
                <w:rFonts w:ascii="宋体" w:cs="Times New Roman"/>
                <w:color w:val="auto"/>
                <w:sz w:val="24"/>
                <w:szCs w:val="24"/>
              </w:rPr>
            </w:pPr>
            <w:r>
              <w:rPr>
                <w:rFonts w:hint="eastAsia" w:ascii="宋体" w:hAnsi="宋体" w:cs="宋体"/>
                <w:color w:val="auto"/>
                <w:sz w:val="24"/>
                <w:szCs w:val="24"/>
              </w:rPr>
              <w:t>酱油</w:t>
            </w:r>
          </w:p>
        </w:tc>
        <w:tc>
          <w:tcPr>
            <w:tcW w:w="6943" w:type="dxa"/>
            <w:noWrap w:val="0"/>
            <w:vAlign w:val="center"/>
          </w:tcPr>
          <w:p w14:paraId="24113625">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合格的酱油颜色比较红、亮，有光泽、透明，把酱油倒在瓶子里摇一下，合格酱油产生的泡沫非常细腻，保持持久，挂碗现象非常好，有一种发黏的感觉；不合格的酱油泡沫比较大，很容易散去，挂碗现象不好，很容易滑落。</w:t>
            </w:r>
          </w:p>
        </w:tc>
      </w:tr>
      <w:tr w14:paraId="3E5C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3033932">
            <w:pPr>
              <w:jc w:val="center"/>
              <w:rPr>
                <w:rFonts w:ascii="宋体" w:cs="Times New Roman"/>
                <w:color w:val="auto"/>
                <w:sz w:val="24"/>
                <w:szCs w:val="24"/>
              </w:rPr>
            </w:pPr>
            <w:r>
              <w:rPr>
                <w:rFonts w:ascii="宋体" w:hAnsi="宋体" w:cs="宋体"/>
                <w:color w:val="auto"/>
                <w:sz w:val="24"/>
                <w:szCs w:val="24"/>
              </w:rPr>
              <w:t>2</w:t>
            </w:r>
          </w:p>
        </w:tc>
        <w:tc>
          <w:tcPr>
            <w:tcW w:w="1452" w:type="dxa"/>
            <w:noWrap w:val="0"/>
            <w:vAlign w:val="center"/>
          </w:tcPr>
          <w:p w14:paraId="5DA379B2">
            <w:pPr>
              <w:jc w:val="center"/>
              <w:rPr>
                <w:rFonts w:ascii="宋体" w:cs="Times New Roman"/>
                <w:color w:val="auto"/>
                <w:sz w:val="24"/>
                <w:szCs w:val="24"/>
              </w:rPr>
            </w:pPr>
            <w:r>
              <w:rPr>
                <w:rFonts w:hint="eastAsia" w:ascii="宋体" w:hAnsi="宋体" w:cs="宋体"/>
                <w:color w:val="auto"/>
                <w:sz w:val="24"/>
                <w:szCs w:val="24"/>
              </w:rPr>
              <w:t>味精</w:t>
            </w:r>
          </w:p>
        </w:tc>
        <w:tc>
          <w:tcPr>
            <w:tcW w:w="6943" w:type="dxa"/>
            <w:noWrap w:val="0"/>
            <w:vAlign w:val="center"/>
          </w:tcPr>
          <w:p w14:paraId="651C331D">
            <w:pPr>
              <w:ind w:firstLine="480" w:firstLineChars="200"/>
              <w:rPr>
                <w:rFonts w:ascii="宋体" w:cs="Times New Roman"/>
                <w:color w:val="auto"/>
                <w:sz w:val="24"/>
                <w:szCs w:val="24"/>
              </w:rPr>
            </w:pPr>
            <w:r>
              <w:rPr>
                <w:rFonts w:hint="eastAsia" w:ascii="宋体" w:hAnsi="宋体" w:cs="宋体"/>
                <w:color w:val="auto"/>
                <w:sz w:val="24"/>
                <w:szCs w:val="24"/>
              </w:rPr>
              <w:t>无色至白色结晶或粉末，具有特殊的鲜味，无异味，无肉眼可见杂质。</w:t>
            </w:r>
          </w:p>
        </w:tc>
      </w:tr>
      <w:tr w14:paraId="0094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A9B041B">
            <w:pPr>
              <w:jc w:val="center"/>
              <w:rPr>
                <w:rFonts w:ascii="宋体" w:cs="Times New Roman"/>
                <w:color w:val="auto"/>
                <w:sz w:val="24"/>
                <w:szCs w:val="24"/>
              </w:rPr>
            </w:pPr>
            <w:r>
              <w:rPr>
                <w:rFonts w:ascii="宋体" w:hAnsi="宋体" w:cs="宋体"/>
                <w:color w:val="auto"/>
                <w:sz w:val="24"/>
                <w:szCs w:val="24"/>
              </w:rPr>
              <w:t>3</w:t>
            </w:r>
          </w:p>
        </w:tc>
        <w:tc>
          <w:tcPr>
            <w:tcW w:w="1452" w:type="dxa"/>
            <w:noWrap w:val="0"/>
            <w:vAlign w:val="center"/>
          </w:tcPr>
          <w:p w14:paraId="527C92D4">
            <w:pPr>
              <w:jc w:val="center"/>
              <w:rPr>
                <w:rFonts w:ascii="宋体" w:cs="Times New Roman"/>
                <w:color w:val="auto"/>
                <w:sz w:val="24"/>
                <w:szCs w:val="24"/>
              </w:rPr>
            </w:pPr>
            <w:r>
              <w:rPr>
                <w:rFonts w:hint="eastAsia" w:ascii="宋体" w:hAnsi="宋体" w:cs="宋体"/>
                <w:color w:val="auto"/>
                <w:sz w:val="24"/>
                <w:szCs w:val="24"/>
              </w:rPr>
              <w:t>食醋</w:t>
            </w:r>
          </w:p>
        </w:tc>
        <w:tc>
          <w:tcPr>
            <w:tcW w:w="6943" w:type="dxa"/>
            <w:noWrap w:val="0"/>
            <w:vAlign w:val="center"/>
          </w:tcPr>
          <w:p w14:paraId="2CF375F9">
            <w:pPr>
              <w:ind w:firstLine="480" w:firstLineChars="200"/>
              <w:rPr>
                <w:rFonts w:ascii="宋体" w:cs="Times New Roman"/>
                <w:color w:val="auto"/>
                <w:sz w:val="24"/>
                <w:szCs w:val="24"/>
              </w:rPr>
            </w:pPr>
            <w:r>
              <w:rPr>
                <w:rFonts w:hint="eastAsia" w:ascii="宋体" w:hAnsi="宋体" w:cs="宋体"/>
                <w:color w:val="auto"/>
                <w:sz w:val="24"/>
                <w:szCs w:val="24"/>
              </w:rPr>
              <w:t>具有正常食醋的色泽、气味和滋味，不涩，无其他不良气味与异味，无浮物，不浑浊，无沉淀，无异物，无醋鳗、醋虱。</w:t>
            </w:r>
          </w:p>
        </w:tc>
      </w:tr>
      <w:tr w14:paraId="6732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4556946">
            <w:pPr>
              <w:jc w:val="center"/>
              <w:rPr>
                <w:rFonts w:ascii="宋体" w:cs="Times New Roman"/>
                <w:color w:val="auto"/>
                <w:sz w:val="24"/>
                <w:szCs w:val="24"/>
              </w:rPr>
            </w:pPr>
            <w:r>
              <w:rPr>
                <w:rFonts w:ascii="宋体" w:hAnsi="宋体" w:cs="宋体"/>
                <w:color w:val="auto"/>
                <w:sz w:val="24"/>
                <w:szCs w:val="24"/>
              </w:rPr>
              <w:t>4</w:t>
            </w:r>
          </w:p>
        </w:tc>
        <w:tc>
          <w:tcPr>
            <w:tcW w:w="1452" w:type="dxa"/>
            <w:noWrap w:val="0"/>
            <w:vAlign w:val="center"/>
          </w:tcPr>
          <w:p w14:paraId="26FFDB16">
            <w:pPr>
              <w:jc w:val="center"/>
              <w:rPr>
                <w:rFonts w:ascii="宋体" w:cs="Times New Roman"/>
                <w:color w:val="auto"/>
                <w:sz w:val="24"/>
                <w:szCs w:val="24"/>
              </w:rPr>
            </w:pPr>
            <w:r>
              <w:rPr>
                <w:rFonts w:hint="eastAsia" w:ascii="宋体" w:hAnsi="宋体" w:cs="宋体"/>
                <w:color w:val="auto"/>
                <w:sz w:val="24"/>
                <w:szCs w:val="24"/>
              </w:rPr>
              <w:t>酱类食品</w:t>
            </w:r>
          </w:p>
        </w:tc>
        <w:tc>
          <w:tcPr>
            <w:tcW w:w="6943" w:type="dxa"/>
            <w:noWrap w:val="0"/>
            <w:vAlign w:val="center"/>
          </w:tcPr>
          <w:p w14:paraId="6853BFB8">
            <w:pPr>
              <w:ind w:firstLine="480" w:firstLineChars="200"/>
              <w:rPr>
                <w:rFonts w:ascii="宋体" w:cs="Times New Roman"/>
                <w:color w:val="auto"/>
                <w:sz w:val="24"/>
                <w:szCs w:val="24"/>
              </w:rPr>
            </w:pPr>
            <w:r>
              <w:rPr>
                <w:rFonts w:hint="eastAsia" w:ascii="宋体" w:hAnsi="宋体" w:cs="宋体"/>
                <w:color w:val="auto"/>
                <w:sz w:val="24"/>
                <w:szCs w:val="24"/>
              </w:rPr>
              <w:t>具有正常酿造酱的色泽、气味和滋味，不涩，无其他不良气味，不得有酸、苦、焦糊及其它异味、异物。</w:t>
            </w:r>
          </w:p>
        </w:tc>
      </w:tr>
      <w:tr w14:paraId="646E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7173F688">
            <w:pPr>
              <w:jc w:val="center"/>
              <w:rPr>
                <w:rFonts w:ascii="宋体" w:cs="Times New Roman"/>
                <w:color w:val="auto"/>
                <w:sz w:val="24"/>
                <w:szCs w:val="24"/>
              </w:rPr>
            </w:pPr>
            <w:r>
              <w:rPr>
                <w:rFonts w:ascii="宋体" w:hAnsi="宋体" w:cs="宋体"/>
                <w:color w:val="auto"/>
                <w:sz w:val="24"/>
                <w:szCs w:val="24"/>
              </w:rPr>
              <w:t>5</w:t>
            </w:r>
          </w:p>
        </w:tc>
        <w:tc>
          <w:tcPr>
            <w:tcW w:w="1452" w:type="dxa"/>
            <w:noWrap w:val="0"/>
            <w:vAlign w:val="center"/>
          </w:tcPr>
          <w:p w14:paraId="330D0A0B">
            <w:pPr>
              <w:jc w:val="center"/>
              <w:rPr>
                <w:rFonts w:ascii="宋体" w:cs="Times New Roman"/>
                <w:color w:val="auto"/>
                <w:sz w:val="24"/>
                <w:szCs w:val="24"/>
              </w:rPr>
            </w:pPr>
            <w:r>
              <w:rPr>
                <w:rFonts w:hint="eastAsia" w:ascii="宋体" w:hAnsi="宋体" w:cs="宋体"/>
                <w:color w:val="auto"/>
                <w:sz w:val="24"/>
                <w:szCs w:val="24"/>
              </w:rPr>
              <w:t>淀粉制品</w:t>
            </w:r>
          </w:p>
        </w:tc>
        <w:tc>
          <w:tcPr>
            <w:tcW w:w="6943" w:type="dxa"/>
            <w:noWrap w:val="0"/>
            <w:vAlign w:val="center"/>
          </w:tcPr>
          <w:p w14:paraId="2A16BAA7">
            <w:pPr>
              <w:ind w:firstLine="480" w:firstLineChars="200"/>
              <w:rPr>
                <w:rFonts w:ascii="宋体" w:cs="Times New Roman"/>
                <w:color w:val="auto"/>
                <w:sz w:val="24"/>
                <w:szCs w:val="24"/>
              </w:rPr>
            </w:pPr>
            <w:r>
              <w:rPr>
                <w:rFonts w:hint="eastAsia" w:ascii="宋体" w:hAnsi="宋体" w:cs="宋体"/>
                <w:color w:val="auto"/>
                <w:sz w:val="24"/>
                <w:szCs w:val="24"/>
              </w:rPr>
              <w:t>具有各自品种固有的形态和色泽，不酸、不粘、不发霉，无变质，无异味，无杂质，口尝无砂质。</w:t>
            </w:r>
          </w:p>
        </w:tc>
      </w:tr>
      <w:tr w14:paraId="67BB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23E8F273">
            <w:pPr>
              <w:jc w:val="center"/>
              <w:rPr>
                <w:rFonts w:ascii="宋体" w:cs="Times New Roman"/>
                <w:color w:val="auto"/>
                <w:sz w:val="24"/>
                <w:szCs w:val="24"/>
              </w:rPr>
            </w:pPr>
            <w:r>
              <w:rPr>
                <w:rFonts w:ascii="宋体" w:hAnsi="宋体" w:cs="宋体"/>
                <w:color w:val="auto"/>
                <w:sz w:val="24"/>
                <w:szCs w:val="24"/>
              </w:rPr>
              <w:t>6</w:t>
            </w:r>
          </w:p>
        </w:tc>
        <w:tc>
          <w:tcPr>
            <w:tcW w:w="1452" w:type="dxa"/>
            <w:noWrap w:val="0"/>
            <w:vAlign w:val="center"/>
          </w:tcPr>
          <w:p w14:paraId="325C47FA">
            <w:pPr>
              <w:jc w:val="center"/>
              <w:rPr>
                <w:rFonts w:ascii="宋体" w:cs="Times New Roman"/>
                <w:color w:val="auto"/>
                <w:sz w:val="24"/>
                <w:szCs w:val="24"/>
              </w:rPr>
            </w:pPr>
            <w:r>
              <w:rPr>
                <w:rFonts w:hint="eastAsia" w:ascii="宋体" w:hAnsi="宋体" w:cs="宋体"/>
                <w:color w:val="auto"/>
                <w:sz w:val="24"/>
                <w:szCs w:val="24"/>
              </w:rPr>
              <w:t>食盐</w:t>
            </w:r>
          </w:p>
        </w:tc>
        <w:tc>
          <w:tcPr>
            <w:tcW w:w="6943" w:type="dxa"/>
            <w:noWrap w:val="0"/>
            <w:vAlign w:val="center"/>
          </w:tcPr>
          <w:p w14:paraId="088C35A7">
            <w:pPr>
              <w:ind w:firstLine="480" w:firstLineChars="200"/>
              <w:rPr>
                <w:rFonts w:ascii="宋体" w:cs="Times New Roman"/>
                <w:color w:val="auto"/>
                <w:sz w:val="24"/>
                <w:szCs w:val="24"/>
              </w:rPr>
            </w:pPr>
            <w:r>
              <w:rPr>
                <w:rFonts w:hint="eastAsia" w:ascii="宋体" w:hAnsi="宋体" w:cs="宋体"/>
                <w:color w:val="auto"/>
                <w:sz w:val="24"/>
                <w:szCs w:val="24"/>
              </w:rPr>
              <w:t>结晶整齐一致，坚硬光滑，呈透明或半透明，不结块，无反卤吸潮现象，无杂质，沾取少许尝试具有纯正的咸味。</w:t>
            </w:r>
          </w:p>
        </w:tc>
      </w:tr>
      <w:tr w14:paraId="5889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363C55CF">
            <w:pPr>
              <w:jc w:val="center"/>
              <w:rPr>
                <w:rFonts w:ascii="宋体" w:cs="Times New Roman"/>
                <w:color w:val="auto"/>
                <w:sz w:val="24"/>
                <w:szCs w:val="24"/>
              </w:rPr>
            </w:pPr>
            <w:r>
              <w:rPr>
                <w:rFonts w:ascii="宋体" w:hAnsi="宋体" w:cs="宋体"/>
                <w:color w:val="auto"/>
                <w:sz w:val="24"/>
                <w:szCs w:val="24"/>
              </w:rPr>
              <w:t>7</w:t>
            </w:r>
          </w:p>
        </w:tc>
        <w:tc>
          <w:tcPr>
            <w:tcW w:w="1452" w:type="dxa"/>
            <w:noWrap w:val="0"/>
            <w:vAlign w:val="center"/>
          </w:tcPr>
          <w:p w14:paraId="6AD7D31D">
            <w:pPr>
              <w:jc w:val="center"/>
              <w:rPr>
                <w:rFonts w:ascii="宋体" w:cs="Times New Roman"/>
                <w:color w:val="auto"/>
                <w:sz w:val="24"/>
                <w:szCs w:val="24"/>
              </w:rPr>
            </w:pPr>
            <w:r>
              <w:rPr>
                <w:rFonts w:hint="eastAsia" w:ascii="宋体" w:hAnsi="宋体" w:cs="宋体"/>
                <w:color w:val="auto"/>
                <w:sz w:val="24"/>
                <w:szCs w:val="24"/>
              </w:rPr>
              <w:t>鸡蛋</w:t>
            </w:r>
          </w:p>
        </w:tc>
        <w:tc>
          <w:tcPr>
            <w:tcW w:w="6943" w:type="dxa"/>
            <w:noWrap w:val="0"/>
            <w:vAlign w:val="center"/>
          </w:tcPr>
          <w:p w14:paraId="47544DFC">
            <w:pPr>
              <w:ind w:firstLine="480" w:firstLineChars="200"/>
              <w:rPr>
                <w:rFonts w:ascii="宋体" w:cs="Times New Roman"/>
                <w:color w:val="auto"/>
                <w:sz w:val="24"/>
                <w:szCs w:val="24"/>
              </w:rPr>
            </w:pPr>
            <w:r>
              <w:rPr>
                <w:rFonts w:hint="eastAsia" w:ascii="宋体" w:hAnsi="宋体" w:cs="宋体"/>
                <w:color w:val="auto"/>
                <w:sz w:val="24"/>
                <w:szCs w:val="24"/>
              </w:rPr>
              <w:t>蛋壳清洁完整，色泽鲜明，无破损、裂纹，无霉斑，灯光透视时，整个蛋呈桔黄色至橙红色，蛋黄不见或略见阴影，没有霉味、酸味，臭味等不良气味，打开后蛋黄凸起、完整、有韧性，蛋白澄清、透明、稀稠分明，无异味。蛋壳要干净，不粘手，没有鸡毛、蛋屎等异物。</w:t>
            </w:r>
          </w:p>
        </w:tc>
      </w:tr>
      <w:tr w14:paraId="0951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7EB90DDF">
            <w:pPr>
              <w:jc w:val="center"/>
              <w:rPr>
                <w:rFonts w:ascii="宋体" w:cs="Times New Roman"/>
                <w:color w:val="auto"/>
                <w:sz w:val="24"/>
                <w:szCs w:val="24"/>
              </w:rPr>
            </w:pPr>
            <w:r>
              <w:rPr>
                <w:rFonts w:ascii="宋体" w:hAnsi="宋体" w:cs="宋体"/>
                <w:color w:val="auto"/>
                <w:sz w:val="24"/>
                <w:szCs w:val="24"/>
              </w:rPr>
              <w:t>8</w:t>
            </w:r>
          </w:p>
        </w:tc>
        <w:tc>
          <w:tcPr>
            <w:tcW w:w="1452" w:type="dxa"/>
            <w:noWrap w:val="0"/>
            <w:vAlign w:val="center"/>
          </w:tcPr>
          <w:p w14:paraId="27F83FBA">
            <w:pPr>
              <w:jc w:val="center"/>
              <w:rPr>
                <w:rFonts w:ascii="宋体" w:cs="Times New Roman"/>
                <w:color w:val="auto"/>
                <w:sz w:val="24"/>
                <w:szCs w:val="24"/>
              </w:rPr>
            </w:pPr>
            <w:r>
              <w:rPr>
                <w:rFonts w:hint="eastAsia" w:ascii="宋体" w:hAnsi="宋体" w:cs="宋体"/>
                <w:color w:val="auto"/>
                <w:sz w:val="24"/>
                <w:szCs w:val="24"/>
              </w:rPr>
              <w:t>皮蛋</w:t>
            </w:r>
          </w:p>
        </w:tc>
        <w:tc>
          <w:tcPr>
            <w:tcW w:w="6943" w:type="dxa"/>
            <w:noWrap w:val="0"/>
            <w:vAlign w:val="center"/>
          </w:tcPr>
          <w:p w14:paraId="1272AA39">
            <w:pPr>
              <w:ind w:firstLine="480" w:firstLineChars="200"/>
              <w:rPr>
                <w:rFonts w:ascii="宋体" w:cs="Times New Roman"/>
                <w:color w:val="auto"/>
                <w:sz w:val="24"/>
                <w:szCs w:val="24"/>
              </w:rPr>
            </w:pPr>
            <w:r>
              <w:rPr>
                <w:rFonts w:hint="eastAsia" w:ascii="宋体" w:hAnsi="宋体" w:cs="宋体"/>
                <w:color w:val="auto"/>
                <w:sz w:val="24"/>
                <w:szCs w:val="24"/>
              </w:rPr>
              <w:t>外表泥状包料完整、无霉斑，包料除掉后蛋壳完整无损，灯光透照蛋内容物凝固不动，打开观察，整个蛋凝固、不粘壳、清洁而有弹性，呈半透明的棕黄色，闻起来有芳香，无辛辣气。</w:t>
            </w:r>
          </w:p>
        </w:tc>
      </w:tr>
      <w:tr w14:paraId="57C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0BB51049">
            <w:pPr>
              <w:jc w:val="center"/>
              <w:rPr>
                <w:rFonts w:ascii="宋体" w:cs="Times New Roman"/>
                <w:color w:val="auto"/>
                <w:sz w:val="24"/>
                <w:szCs w:val="24"/>
              </w:rPr>
            </w:pPr>
            <w:r>
              <w:rPr>
                <w:rFonts w:ascii="宋体" w:hAnsi="宋体" w:cs="宋体"/>
                <w:color w:val="auto"/>
                <w:sz w:val="24"/>
                <w:szCs w:val="24"/>
              </w:rPr>
              <w:t>9</w:t>
            </w:r>
          </w:p>
        </w:tc>
        <w:tc>
          <w:tcPr>
            <w:tcW w:w="1452" w:type="dxa"/>
            <w:noWrap w:val="0"/>
            <w:vAlign w:val="center"/>
          </w:tcPr>
          <w:p w14:paraId="60F71A22">
            <w:pPr>
              <w:jc w:val="center"/>
              <w:rPr>
                <w:rFonts w:ascii="宋体" w:cs="Times New Roman"/>
                <w:color w:val="auto"/>
                <w:sz w:val="24"/>
                <w:szCs w:val="24"/>
              </w:rPr>
            </w:pPr>
            <w:r>
              <w:rPr>
                <w:rFonts w:hint="eastAsia" w:ascii="宋体" w:hAnsi="宋体" w:cs="宋体"/>
                <w:color w:val="auto"/>
                <w:sz w:val="24"/>
                <w:szCs w:val="24"/>
              </w:rPr>
              <w:t>咸蛋</w:t>
            </w:r>
          </w:p>
        </w:tc>
        <w:tc>
          <w:tcPr>
            <w:tcW w:w="6943" w:type="dxa"/>
            <w:noWrap w:val="0"/>
            <w:vAlign w:val="center"/>
          </w:tcPr>
          <w:p w14:paraId="3478E0ED">
            <w:pPr>
              <w:ind w:firstLine="480" w:firstLineChars="200"/>
              <w:rPr>
                <w:rFonts w:ascii="宋体" w:cs="Times New Roman"/>
                <w:color w:val="auto"/>
                <w:sz w:val="24"/>
                <w:szCs w:val="24"/>
              </w:rPr>
            </w:pPr>
            <w:r>
              <w:rPr>
                <w:rFonts w:hint="eastAsia" w:ascii="宋体" w:hAnsi="宋体" w:cs="宋体"/>
                <w:color w:val="auto"/>
                <w:sz w:val="24"/>
                <w:szCs w:val="24"/>
              </w:rPr>
              <w:t>蛋壳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tc>
      </w:tr>
      <w:tr w14:paraId="1F4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C94788D">
            <w:pPr>
              <w:jc w:val="center"/>
              <w:rPr>
                <w:rFonts w:ascii="宋体" w:cs="Times New Roman"/>
                <w:color w:val="auto"/>
                <w:sz w:val="24"/>
                <w:szCs w:val="24"/>
              </w:rPr>
            </w:pPr>
            <w:r>
              <w:rPr>
                <w:rFonts w:ascii="宋体" w:hAnsi="宋体" w:cs="宋体"/>
                <w:color w:val="auto"/>
                <w:sz w:val="24"/>
                <w:szCs w:val="24"/>
              </w:rPr>
              <w:t>10</w:t>
            </w:r>
          </w:p>
        </w:tc>
        <w:tc>
          <w:tcPr>
            <w:tcW w:w="1452" w:type="dxa"/>
            <w:noWrap w:val="0"/>
            <w:vAlign w:val="center"/>
          </w:tcPr>
          <w:p w14:paraId="1C60DF47">
            <w:pPr>
              <w:jc w:val="center"/>
              <w:rPr>
                <w:rFonts w:ascii="宋体" w:cs="Times New Roman"/>
                <w:color w:val="auto"/>
                <w:sz w:val="24"/>
                <w:szCs w:val="24"/>
              </w:rPr>
            </w:pPr>
            <w:r>
              <w:rPr>
                <w:rFonts w:hint="eastAsia" w:ascii="宋体" w:hAnsi="宋体" w:cs="宋体"/>
                <w:color w:val="auto"/>
                <w:sz w:val="24"/>
                <w:szCs w:val="24"/>
              </w:rPr>
              <w:t>面粉</w:t>
            </w:r>
          </w:p>
        </w:tc>
        <w:tc>
          <w:tcPr>
            <w:tcW w:w="6943" w:type="dxa"/>
            <w:noWrap w:val="0"/>
            <w:vAlign w:val="center"/>
          </w:tcPr>
          <w:p w14:paraId="5730BA3C">
            <w:pPr>
              <w:ind w:firstLine="480" w:firstLineChars="200"/>
              <w:rPr>
                <w:rFonts w:ascii="宋体" w:cs="Times New Roman"/>
                <w:color w:val="auto"/>
                <w:sz w:val="24"/>
                <w:szCs w:val="24"/>
              </w:rPr>
            </w:pPr>
            <w:r>
              <w:rPr>
                <w:rFonts w:hint="eastAsia" w:ascii="宋体" w:hAnsi="宋体" w:cs="宋体"/>
                <w:color w:val="auto"/>
                <w:sz w:val="24"/>
                <w:szCs w:val="24"/>
              </w:rPr>
              <w:t>色泽呈白色或微黄色，不发暗，无杂质的颜色，呈细粉末状，不含杂质，手指捻捏时无粗粒感，无虫子和结块，置于手中紧捏后放开不成团，具有面粉的正常气味，无其他异味。</w:t>
            </w:r>
          </w:p>
        </w:tc>
      </w:tr>
      <w:tr w14:paraId="02FA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5264C53D">
            <w:pPr>
              <w:jc w:val="center"/>
              <w:rPr>
                <w:rFonts w:ascii="宋体" w:cs="Times New Roman"/>
                <w:color w:val="auto"/>
                <w:sz w:val="24"/>
                <w:szCs w:val="24"/>
              </w:rPr>
            </w:pPr>
            <w:r>
              <w:rPr>
                <w:rFonts w:ascii="宋体" w:hAnsi="宋体" w:cs="宋体"/>
                <w:color w:val="auto"/>
                <w:sz w:val="24"/>
                <w:szCs w:val="24"/>
              </w:rPr>
              <w:t>11</w:t>
            </w:r>
          </w:p>
        </w:tc>
        <w:tc>
          <w:tcPr>
            <w:tcW w:w="1452" w:type="dxa"/>
            <w:noWrap w:val="0"/>
            <w:vAlign w:val="center"/>
          </w:tcPr>
          <w:p w14:paraId="2B9522CF">
            <w:pPr>
              <w:jc w:val="center"/>
              <w:rPr>
                <w:rFonts w:ascii="宋体" w:cs="Times New Roman"/>
                <w:color w:val="auto"/>
                <w:sz w:val="24"/>
                <w:szCs w:val="24"/>
              </w:rPr>
            </w:pPr>
            <w:r>
              <w:rPr>
                <w:rFonts w:hint="eastAsia" w:ascii="宋体" w:hAnsi="宋体" w:cs="宋体"/>
                <w:color w:val="auto"/>
                <w:sz w:val="24"/>
                <w:szCs w:val="24"/>
              </w:rPr>
              <w:t>豆腐</w:t>
            </w:r>
          </w:p>
        </w:tc>
        <w:tc>
          <w:tcPr>
            <w:tcW w:w="6943" w:type="dxa"/>
            <w:noWrap w:val="0"/>
            <w:vAlign w:val="center"/>
          </w:tcPr>
          <w:p w14:paraId="452D7A8E">
            <w:pPr>
              <w:ind w:firstLine="480" w:firstLineChars="200"/>
              <w:rPr>
                <w:rFonts w:ascii="宋体" w:cs="Times New Roman"/>
                <w:color w:val="auto"/>
                <w:sz w:val="24"/>
                <w:szCs w:val="24"/>
              </w:rPr>
            </w:pPr>
            <w:r>
              <w:rPr>
                <w:rFonts w:hint="eastAsia" w:ascii="宋体" w:hAnsi="宋体" w:cs="宋体"/>
                <w:color w:val="auto"/>
                <w:sz w:val="24"/>
                <w:szCs w:val="24"/>
              </w:rPr>
              <w:t>豆腐呈均匀的乳白色或淡黄色，稍有光泽，块形完整，软硬适度，富有一定的弹性，质地细嫩，结构均匀，无杂质，具有豆腐特有的香味，取样品品尝时口感细腻鲜嫩，味道纯正清香。</w:t>
            </w:r>
          </w:p>
        </w:tc>
      </w:tr>
      <w:tr w14:paraId="25DA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684F7915">
            <w:pPr>
              <w:jc w:val="center"/>
              <w:rPr>
                <w:rFonts w:ascii="宋体" w:cs="Times New Roman"/>
                <w:color w:val="auto"/>
                <w:sz w:val="24"/>
                <w:szCs w:val="24"/>
              </w:rPr>
            </w:pPr>
            <w:r>
              <w:rPr>
                <w:rFonts w:ascii="宋体" w:hAnsi="宋体" w:cs="宋体"/>
                <w:color w:val="auto"/>
                <w:sz w:val="24"/>
                <w:szCs w:val="24"/>
              </w:rPr>
              <w:t>12</w:t>
            </w:r>
          </w:p>
        </w:tc>
        <w:tc>
          <w:tcPr>
            <w:tcW w:w="1452" w:type="dxa"/>
            <w:noWrap w:val="0"/>
            <w:vAlign w:val="center"/>
          </w:tcPr>
          <w:p w14:paraId="5228896C">
            <w:pPr>
              <w:jc w:val="center"/>
              <w:rPr>
                <w:rFonts w:ascii="宋体" w:cs="Times New Roman"/>
                <w:color w:val="auto"/>
                <w:sz w:val="24"/>
                <w:szCs w:val="24"/>
              </w:rPr>
            </w:pPr>
            <w:r>
              <w:rPr>
                <w:rFonts w:hint="eastAsia" w:ascii="宋体" w:hAnsi="宋体" w:cs="宋体"/>
                <w:color w:val="auto"/>
                <w:sz w:val="24"/>
                <w:szCs w:val="24"/>
              </w:rPr>
              <w:t>豆腐泡</w:t>
            </w:r>
          </w:p>
        </w:tc>
        <w:tc>
          <w:tcPr>
            <w:tcW w:w="6943" w:type="dxa"/>
            <w:noWrap w:val="0"/>
            <w:vAlign w:val="center"/>
          </w:tcPr>
          <w:p w14:paraId="01A7234C">
            <w:pPr>
              <w:ind w:firstLine="480" w:firstLineChars="200"/>
              <w:rPr>
                <w:rFonts w:ascii="宋体" w:cs="Times New Roman"/>
                <w:color w:val="auto"/>
                <w:sz w:val="24"/>
                <w:szCs w:val="24"/>
              </w:rPr>
            </w:pPr>
            <w:r>
              <w:rPr>
                <w:rFonts w:hint="eastAsia" w:ascii="宋体" w:hAnsi="宋体" w:cs="宋体"/>
                <w:color w:val="auto"/>
                <w:sz w:val="24"/>
                <w:szCs w:val="24"/>
              </w:rPr>
              <w:t>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tc>
      </w:tr>
      <w:tr w14:paraId="20A6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5F08F0CF">
            <w:pPr>
              <w:jc w:val="center"/>
              <w:rPr>
                <w:rFonts w:ascii="宋体" w:cs="Times New Roman"/>
                <w:color w:val="auto"/>
                <w:sz w:val="24"/>
                <w:szCs w:val="24"/>
              </w:rPr>
            </w:pPr>
            <w:r>
              <w:rPr>
                <w:rFonts w:ascii="宋体" w:hAnsi="宋体" w:cs="宋体"/>
                <w:color w:val="auto"/>
                <w:sz w:val="24"/>
                <w:szCs w:val="24"/>
              </w:rPr>
              <w:t>13</w:t>
            </w:r>
          </w:p>
        </w:tc>
        <w:tc>
          <w:tcPr>
            <w:tcW w:w="1452" w:type="dxa"/>
            <w:noWrap w:val="0"/>
            <w:vAlign w:val="center"/>
          </w:tcPr>
          <w:p w14:paraId="6624FECA">
            <w:pPr>
              <w:jc w:val="center"/>
              <w:rPr>
                <w:rFonts w:ascii="宋体" w:cs="Times New Roman"/>
                <w:color w:val="auto"/>
                <w:sz w:val="24"/>
                <w:szCs w:val="24"/>
              </w:rPr>
            </w:pPr>
            <w:r>
              <w:rPr>
                <w:rFonts w:hint="eastAsia" w:ascii="宋体" w:hAnsi="宋体" w:cs="宋体"/>
                <w:color w:val="auto"/>
                <w:sz w:val="24"/>
                <w:szCs w:val="24"/>
              </w:rPr>
              <w:t>腐竹</w:t>
            </w:r>
          </w:p>
        </w:tc>
        <w:tc>
          <w:tcPr>
            <w:tcW w:w="6943" w:type="dxa"/>
            <w:noWrap w:val="0"/>
            <w:vAlign w:val="center"/>
          </w:tcPr>
          <w:p w14:paraId="5C246F7B">
            <w:pPr>
              <w:ind w:firstLine="480" w:firstLineChars="200"/>
              <w:rPr>
                <w:rFonts w:ascii="宋体" w:cs="Times New Roman"/>
                <w:color w:val="auto"/>
                <w:sz w:val="24"/>
                <w:szCs w:val="24"/>
              </w:rPr>
            </w:pPr>
            <w:r>
              <w:rPr>
                <w:rFonts w:hint="eastAsia" w:ascii="宋体" w:hAnsi="宋体" w:cs="宋体"/>
                <w:color w:val="auto"/>
                <w:sz w:val="24"/>
                <w:szCs w:val="24"/>
              </w:rPr>
              <w:t>为枝条或片叶状，质脆易折，条状折断有空心，无霉斑、杂质、虫蛀。呈淡黄色，有光泽。具有腐竹固有的香味，无其他任何异味，取样品品尝其滋味，具有腐竹固有的鲜香滋味。</w:t>
            </w:r>
          </w:p>
        </w:tc>
      </w:tr>
      <w:tr w14:paraId="2B42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1E9AEC69">
            <w:pPr>
              <w:jc w:val="center"/>
              <w:rPr>
                <w:rFonts w:ascii="宋体" w:cs="Times New Roman"/>
                <w:color w:val="auto"/>
                <w:sz w:val="24"/>
                <w:szCs w:val="24"/>
              </w:rPr>
            </w:pPr>
            <w:r>
              <w:rPr>
                <w:rFonts w:ascii="宋体" w:hAnsi="宋体" w:cs="宋体"/>
                <w:color w:val="auto"/>
                <w:sz w:val="24"/>
                <w:szCs w:val="24"/>
              </w:rPr>
              <w:t>14</w:t>
            </w:r>
          </w:p>
        </w:tc>
        <w:tc>
          <w:tcPr>
            <w:tcW w:w="1452" w:type="dxa"/>
            <w:noWrap w:val="0"/>
            <w:vAlign w:val="center"/>
          </w:tcPr>
          <w:p w14:paraId="63BF67D5">
            <w:pPr>
              <w:jc w:val="center"/>
              <w:rPr>
                <w:rFonts w:ascii="宋体" w:cs="Times New Roman"/>
                <w:color w:val="auto"/>
                <w:sz w:val="24"/>
                <w:szCs w:val="24"/>
              </w:rPr>
            </w:pPr>
            <w:r>
              <w:rPr>
                <w:rFonts w:hint="eastAsia" w:ascii="宋体" w:hAnsi="宋体" w:cs="宋体"/>
                <w:color w:val="auto"/>
                <w:sz w:val="24"/>
                <w:szCs w:val="24"/>
              </w:rPr>
              <w:t>腐乳</w:t>
            </w:r>
          </w:p>
        </w:tc>
        <w:tc>
          <w:tcPr>
            <w:tcW w:w="6943" w:type="dxa"/>
            <w:noWrap w:val="0"/>
            <w:vAlign w:val="center"/>
          </w:tcPr>
          <w:p w14:paraId="2F30A2C0">
            <w:pPr>
              <w:ind w:firstLine="480" w:firstLineChars="200"/>
              <w:rPr>
                <w:rFonts w:ascii="宋体" w:cs="Times New Roman"/>
                <w:color w:val="auto"/>
                <w:sz w:val="24"/>
                <w:szCs w:val="24"/>
              </w:rPr>
            </w:pPr>
            <w:r>
              <w:rPr>
                <w:rFonts w:hint="eastAsia" w:ascii="宋体" w:hAnsi="宋体" w:cs="宋体"/>
                <w:color w:val="auto"/>
                <w:sz w:val="24"/>
                <w:szCs w:val="24"/>
              </w:rPr>
              <w:t>红腐乳表面呈红色或枣红色，内部呈杏黄色，色泽鲜艳，有光泽。白腐乳外表呈乳黄色。块形整齐均匀，质地细腻，无霉斑、霉变及杂质。具有各品种的腐乳特有的香味或特征气味，滋味鲜美，咸淡适口，无任何其他异味。</w:t>
            </w:r>
          </w:p>
        </w:tc>
      </w:tr>
      <w:tr w14:paraId="3ECA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20438A84">
            <w:pPr>
              <w:jc w:val="center"/>
              <w:rPr>
                <w:rFonts w:ascii="宋体" w:cs="Times New Roman"/>
                <w:color w:val="auto"/>
                <w:sz w:val="24"/>
                <w:szCs w:val="24"/>
              </w:rPr>
            </w:pPr>
            <w:r>
              <w:rPr>
                <w:rFonts w:ascii="宋体" w:hAnsi="宋体" w:cs="宋体"/>
                <w:color w:val="auto"/>
                <w:sz w:val="24"/>
                <w:szCs w:val="24"/>
              </w:rPr>
              <w:t>15</w:t>
            </w:r>
          </w:p>
        </w:tc>
        <w:tc>
          <w:tcPr>
            <w:tcW w:w="1452" w:type="dxa"/>
            <w:noWrap w:val="0"/>
            <w:vAlign w:val="center"/>
          </w:tcPr>
          <w:p w14:paraId="375D783A">
            <w:pPr>
              <w:jc w:val="center"/>
              <w:rPr>
                <w:rFonts w:ascii="宋体" w:cs="Times New Roman"/>
                <w:color w:val="auto"/>
                <w:sz w:val="24"/>
                <w:szCs w:val="24"/>
              </w:rPr>
            </w:pPr>
            <w:r>
              <w:rPr>
                <w:rFonts w:hint="eastAsia" w:ascii="宋体" w:hAnsi="宋体" w:cs="宋体"/>
                <w:color w:val="auto"/>
                <w:sz w:val="24"/>
                <w:szCs w:val="24"/>
              </w:rPr>
              <w:t>大豆</w:t>
            </w:r>
          </w:p>
        </w:tc>
        <w:tc>
          <w:tcPr>
            <w:tcW w:w="6943" w:type="dxa"/>
            <w:noWrap w:val="0"/>
            <w:vAlign w:val="center"/>
          </w:tcPr>
          <w:p w14:paraId="3DAA864F">
            <w:pPr>
              <w:ind w:firstLine="480" w:firstLineChars="200"/>
              <w:rPr>
                <w:rFonts w:ascii="宋体" w:cs="Times New Roman"/>
                <w:color w:val="auto"/>
                <w:sz w:val="24"/>
                <w:szCs w:val="24"/>
              </w:rPr>
            </w:pPr>
            <w:r>
              <w:rPr>
                <w:rFonts w:hint="eastAsia" w:ascii="宋体" w:hAnsi="宋体" w:cs="宋体"/>
                <w:color w:val="auto"/>
                <w:sz w:val="24"/>
                <w:szCs w:val="24"/>
              </w:rPr>
              <w:t>大豆根据其种皮颜色和粒形可分为黄大豆、青大豆、黑大豆、其他大豆</w:t>
            </w:r>
            <w:r>
              <w:rPr>
                <w:rFonts w:ascii="宋体" w:hAnsi="宋体" w:cs="宋体"/>
                <w:color w:val="auto"/>
                <w:sz w:val="24"/>
                <w:szCs w:val="24"/>
              </w:rPr>
              <w:t>(</w:t>
            </w:r>
            <w:r>
              <w:rPr>
                <w:rFonts w:hint="eastAsia" w:ascii="宋体" w:hAnsi="宋体" w:cs="宋体"/>
                <w:color w:val="auto"/>
                <w:sz w:val="24"/>
                <w:szCs w:val="24"/>
              </w:rPr>
              <w:t>赤色、褐色、棕色等</w:t>
            </w:r>
            <w:r>
              <w:rPr>
                <w:rFonts w:ascii="宋体" w:hAnsi="宋体" w:cs="宋体"/>
                <w:color w:val="auto"/>
                <w:sz w:val="24"/>
                <w:szCs w:val="24"/>
              </w:rPr>
              <w:t>)</w:t>
            </w:r>
            <w:r>
              <w:rPr>
                <w:rFonts w:hint="eastAsia" w:ascii="宋体" w:hAnsi="宋体" w:cs="宋体"/>
                <w:color w:val="auto"/>
                <w:sz w:val="24"/>
                <w:szCs w:val="24"/>
              </w:rPr>
              <w:t>和饲料豆</w:t>
            </w:r>
            <w:r>
              <w:rPr>
                <w:rFonts w:ascii="宋体" w:hAnsi="宋体" w:cs="宋体"/>
                <w:color w:val="auto"/>
                <w:sz w:val="24"/>
                <w:szCs w:val="24"/>
              </w:rPr>
              <w:t>(</w:t>
            </w:r>
            <w:r>
              <w:rPr>
                <w:rFonts w:hint="eastAsia" w:ascii="宋体" w:hAnsi="宋体" w:cs="宋体"/>
                <w:color w:val="auto"/>
                <w:sz w:val="24"/>
                <w:szCs w:val="24"/>
              </w:rPr>
              <w:t>秣食豆</w:t>
            </w:r>
            <w:r>
              <w:rPr>
                <w:rFonts w:ascii="宋体" w:hAnsi="宋体" w:cs="宋体"/>
                <w:color w:val="auto"/>
                <w:sz w:val="24"/>
                <w:szCs w:val="24"/>
              </w:rPr>
              <w:t>)</w:t>
            </w:r>
            <w:r>
              <w:rPr>
                <w:rFonts w:hint="eastAsia" w:ascii="宋体" w:hAnsi="宋体" w:cs="宋体"/>
                <w:color w:val="auto"/>
                <w:sz w:val="24"/>
                <w:szCs w:val="24"/>
              </w:rPr>
              <w:t>五类。</w:t>
            </w:r>
          </w:p>
          <w:p w14:paraId="3F9E0516">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大豆皮色呈各种大豆固有的颜色，光彩油亮，洁净而有光泽，颗粒饱满，整齐均匀，无虫蛀粒，无杂质，无霉变。</w:t>
            </w:r>
          </w:p>
        </w:tc>
      </w:tr>
      <w:tr w14:paraId="55DF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01BA375">
            <w:pPr>
              <w:jc w:val="center"/>
              <w:rPr>
                <w:rFonts w:ascii="宋体" w:cs="Times New Roman"/>
                <w:color w:val="auto"/>
                <w:sz w:val="24"/>
                <w:szCs w:val="24"/>
              </w:rPr>
            </w:pPr>
            <w:r>
              <w:rPr>
                <w:rFonts w:ascii="宋体" w:hAnsi="宋体" w:cs="宋体"/>
                <w:color w:val="auto"/>
                <w:sz w:val="24"/>
                <w:szCs w:val="24"/>
              </w:rPr>
              <w:t>16</w:t>
            </w:r>
          </w:p>
        </w:tc>
        <w:tc>
          <w:tcPr>
            <w:tcW w:w="1452" w:type="dxa"/>
            <w:noWrap w:val="0"/>
            <w:vAlign w:val="center"/>
          </w:tcPr>
          <w:p w14:paraId="1F279850">
            <w:pPr>
              <w:jc w:val="center"/>
              <w:rPr>
                <w:rFonts w:ascii="宋体" w:cs="Times New Roman"/>
                <w:color w:val="auto"/>
                <w:sz w:val="24"/>
                <w:szCs w:val="24"/>
              </w:rPr>
            </w:pPr>
            <w:r>
              <w:rPr>
                <w:rFonts w:hint="eastAsia" w:ascii="宋体" w:hAnsi="宋体" w:cs="宋体"/>
                <w:color w:val="auto"/>
                <w:sz w:val="24"/>
                <w:szCs w:val="24"/>
              </w:rPr>
              <w:t>花生</w:t>
            </w:r>
          </w:p>
        </w:tc>
        <w:tc>
          <w:tcPr>
            <w:tcW w:w="6943" w:type="dxa"/>
            <w:noWrap w:val="0"/>
            <w:vAlign w:val="center"/>
          </w:tcPr>
          <w:p w14:paraId="179B7172">
            <w:pPr>
              <w:ind w:firstLine="480" w:firstLineChars="200"/>
              <w:rPr>
                <w:rFonts w:ascii="宋体" w:cs="Times New Roman"/>
                <w:color w:val="auto"/>
                <w:sz w:val="24"/>
                <w:szCs w:val="24"/>
              </w:rPr>
            </w:pPr>
            <w:r>
              <w:rPr>
                <w:rFonts w:hint="eastAsia" w:ascii="宋体" w:hAnsi="宋体" w:cs="宋体"/>
                <w:color w:val="auto"/>
                <w:sz w:val="24"/>
                <w:szCs w:val="24"/>
              </w:rPr>
              <w:t>果荚呈土黄色或白色，果仁呈各不同品种所特有的颜色，色泽分布均匀一致，带荚花生和去荚果仁均颗粒饱满、形态完整、大小均匀，无杂质，具有花生特有的气味、香味，无任何异味。</w:t>
            </w:r>
          </w:p>
        </w:tc>
      </w:tr>
      <w:tr w14:paraId="53B0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40C9DB9D">
            <w:pPr>
              <w:jc w:val="center"/>
              <w:rPr>
                <w:rFonts w:ascii="宋体" w:cs="Times New Roman"/>
                <w:color w:val="auto"/>
                <w:sz w:val="24"/>
                <w:szCs w:val="24"/>
              </w:rPr>
            </w:pPr>
            <w:r>
              <w:rPr>
                <w:rFonts w:ascii="宋体" w:hAnsi="宋体" w:cs="宋体"/>
                <w:color w:val="auto"/>
                <w:sz w:val="24"/>
                <w:szCs w:val="24"/>
              </w:rPr>
              <w:t>17</w:t>
            </w:r>
          </w:p>
        </w:tc>
        <w:tc>
          <w:tcPr>
            <w:tcW w:w="1452" w:type="dxa"/>
            <w:noWrap w:val="0"/>
            <w:vAlign w:val="center"/>
          </w:tcPr>
          <w:p w14:paraId="0458825E">
            <w:pPr>
              <w:jc w:val="center"/>
              <w:rPr>
                <w:rFonts w:ascii="宋体" w:cs="Times New Roman"/>
                <w:color w:val="auto"/>
                <w:sz w:val="24"/>
                <w:szCs w:val="24"/>
              </w:rPr>
            </w:pPr>
            <w:r>
              <w:rPr>
                <w:rFonts w:hint="eastAsia" w:ascii="宋体" w:hAnsi="宋体" w:cs="宋体"/>
                <w:color w:val="auto"/>
                <w:sz w:val="24"/>
                <w:szCs w:val="24"/>
              </w:rPr>
              <w:t>食糖</w:t>
            </w:r>
          </w:p>
        </w:tc>
        <w:tc>
          <w:tcPr>
            <w:tcW w:w="6943" w:type="dxa"/>
            <w:noWrap w:val="0"/>
            <w:vAlign w:val="center"/>
          </w:tcPr>
          <w:p w14:paraId="38E27613">
            <w:pPr>
              <w:ind w:firstLine="480" w:firstLineChars="200"/>
              <w:rPr>
                <w:rFonts w:ascii="宋体" w:cs="Times New Roman"/>
                <w:color w:val="auto"/>
                <w:sz w:val="24"/>
                <w:szCs w:val="24"/>
              </w:rPr>
            </w:pPr>
            <w:r>
              <w:rPr>
                <w:rFonts w:hint="eastAsia" w:ascii="宋体" w:hAnsi="宋体" w:cs="宋体"/>
                <w:color w:val="auto"/>
                <w:sz w:val="24"/>
                <w:szCs w:val="24"/>
              </w:rPr>
              <w:t>食糖分为白糖、红糖、冰糖、方糖等。</w:t>
            </w:r>
          </w:p>
          <w:p w14:paraId="1409D12F">
            <w:pPr>
              <w:ind w:firstLine="480" w:firstLineChars="200"/>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白糖的感官鉴别：色泽洁白明亮，有光泽，具有白糖的正常气味，无酸味、酒味或其他外来气味。</w:t>
            </w:r>
          </w:p>
          <w:p w14:paraId="2753E4CC">
            <w:pPr>
              <w:ind w:firstLine="480" w:firstLineChars="200"/>
              <w:rPr>
                <w:rFonts w:ascii="宋体" w:cs="Times New Roman"/>
                <w:color w:val="auto"/>
                <w:sz w:val="24"/>
                <w:szCs w:val="24"/>
              </w:rPr>
            </w:pPr>
            <w:r>
              <w:rPr>
                <w:rFonts w:hint="eastAsia" w:ascii="宋体" w:hAnsi="宋体" w:cs="宋体"/>
                <w:color w:val="auto"/>
                <w:sz w:val="24"/>
                <w:szCs w:val="24"/>
              </w:rPr>
              <w:t>白砂糖：颗粒大如砂粒，晶粒均匀整齐，晶面明显，无碎末，糖质坚硬。</w:t>
            </w:r>
          </w:p>
          <w:p w14:paraId="63B81987">
            <w:pPr>
              <w:ind w:firstLine="480" w:firstLineChars="200"/>
              <w:rPr>
                <w:rFonts w:ascii="宋体" w:cs="Times New Roman"/>
                <w:color w:val="auto"/>
                <w:sz w:val="24"/>
                <w:szCs w:val="24"/>
              </w:rPr>
            </w:pPr>
            <w:r>
              <w:rPr>
                <w:rFonts w:hint="eastAsia" w:ascii="宋体" w:hAnsi="宋体" w:cs="宋体"/>
                <w:color w:val="auto"/>
                <w:sz w:val="24"/>
                <w:szCs w:val="24"/>
              </w:rPr>
              <w:t>绵白糖：颗粒细小而均匀，质地绵软、潮润。</w:t>
            </w:r>
          </w:p>
          <w:p w14:paraId="3E97273B">
            <w:pPr>
              <w:ind w:firstLine="480" w:firstLineChars="200"/>
              <w:rPr>
                <w:rFonts w:ascii="宋体" w:cs="Times New Roman"/>
                <w:color w:val="auto"/>
                <w:sz w:val="24"/>
                <w:szCs w:val="24"/>
              </w:rPr>
            </w:pPr>
            <w:r>
              <w:rPr>
                <w:rFonts w:hint="eastAsia" w:ascii="宋体" w:hAnsi="宋体" w:cs="宋体"/>
                <w:color w:val="auto"/>
                <w:sz w:val="24"/>
                <w:szCs w:val="24"/>
              </w:rPr>
              <w:t>冰糖：块形完整，个粒均匀，结晶组织严密，透明或半透明，无破碎。</w:t>
            </w:r>
          </w:p>
          <w:p w14:paraId="1DCDA55E">
            <w:pPr>
              <w:ind w:firstLine="480" w:firstLineChars="200"/>
              <w:rPr>
                <w:rFonts w:ascii="宋体" w:cs="Times New Roman"/>
                <w:color w:val="auto"/>
                <w:sz w:val="24"/>
                <w:szCs w:val="24"/>
              </w:rPr>
            </w:pPr>
            <w:r>
              <w:rPr>
                <w:rFonts w:hint="eastAsia" w:ascii="宋体" w:hAnsi="宋体" w:cs="宋体"/>
                <w:color w:val="auto"/>
                <w:sz w:val="24"/>
                <w:szCs w:val="24"/>
              </w:rPr>
              <w:t>方糖：呈正六面体状，表面平整，无裂纹，铁边，断角，无突出砂粒，无霉斑。</w:t>
            </w:r>
          </w:p>
          <w:p w14:paraId="6B91F9BA">
            <w:pPr>
              <w:ind w:firstLine="480" w:firstLineChars="200"/>
              <w:rPr>
                <w:rFonts w:ascii="宋体" w:cs="Times New Roman"/>
                <w:color w:val="auto"/>
                <w:sz w:val="24"/>
                <w:szCs w:val="24"/>
              </w:rPr>
            </w:pPr>
            <w:r>
              <w:rPr>
                <w:rFonts w:hint="eastAsia" w:ascii="宋体" w:hAnsi="宋体" w:cs="宋体"/>
                <w:color w:val="auto"/>
                <w:sz w:val="24"/>
                <w:szCs w:val="24"/>
              </w:rPr>
              <w:t>凡是白糖都应干燥，晶粒松散，不粘手，不结块，无肉眼可见的杂质，白糖的水溶液应清晰透明无杂质。</w:t>
            </w:r>
          </w:p>
          <w:p w14:paraId="277505E9">
            <w:pPr>
              <w:ind w:firstLine="480" w:firstLineChars="200"/>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红糖的感官鉴别</w:t>
            </w:r>
          </w:p>
          <w:p w14:paraId="5C880F8E">
            <w:pPr>
              <w:ind w:firstLine="480" w:firstLineChars="200"/>
              <w:rPr>
                <w:rFonts w:ascii="宋体" w:cs="Times New Roman"/>
                <w:color w:val="auto"/>
                <w:sz w:val="24"/>
                <w:szCs w:val="24"/>
              </w:rPr>
            </w:pPr>
            <w:r>
              <w:rPr>
                <w:rFonts w:hint="eastAsia" w:ascii="宋体" w:hAnsi="宋体" w:cs="宋体"/>
                <w:color w:val="auto"/>
                <w:sz w:val="24"/>
                <w:szCs w:val="24"/>
              </w:rPr>
              <w:t>红糖可细分为赤砂糖和红糖两种，其中赤砂糖是机制未经洗蜜的糖，红糖是用手工制成的土糖。</w:t>
            </w:r>
          </w:p>
          <w:p w14:paraId="76D78218">
            <w:pPr>
              <w:ind w:firstLine="480" w:firstLineChars="200"/>
              <w:rPr>
                <w:rFonts w:ascii="宋体" w:cs="Times New Roman"/>
                <w:color w:val="auto"/>
                <w:sz w:val="24"/>
                <w:szCs w:val="24"/>
              </w:rPr>
            </w:pPr>
            <w:r>
              <w:rPr>
                <w:rFonts w:hint="eastAsia" w:ascii="宋体" w:hAnsi="宋体" w:cs="宋体"/>
                <w:color w:val="auto"/>
                <w:sz w:val="24"/>
                <w:szCs w:val="24"/>
              </w:rPr>
              <w:t>因红糖的颜色有红褐、青褐、黄褐、赤红、金黄、淡黄、枣红等多种，很不一致，故凭色泽难以识别红糖的质量，应将感官鉴别的侧重点放在组织状态、气味、滋味三个指标上。</w:t>
            </w:r>
          </w:p>
          <w:p w14:paraId="5608EB09">
            <w:pPr>
              <w:ind w:firstLine="480" w:firstLineChars="200"/>
              <w:rPr>
                <w:rFonts w:ascii="宋体" w:cs="Times New Roman"/>
                <w:color w:val="auto"/>
                <w:sz w:val="24"/>
                <w:szCs w:val="24"/>
              </w:rPr>
            </w:pPr>
            <w:r>
              <w:rPr>
                <w:rFonts w:hint="eastAsia" w:ascii="宋体" w:hAnsi="宋体" w:cs="宋体"/>
                <w:color w:val="auto"/>
                <w:sz w:val="24"/>
                <w:szCs w:val="24"/>
              </w:rPr>
              <w:t>呈晶粒状或粉末状，干燥而松散，不结块，不成团，无杂质，其水溶液清晰，无沉淀，无悬浮物，具有甘蔗汁的清香味，口味浓甜带鲜，微有糖蜜味，无酒味、酸味、焦苦味或其他外来异味。</w:t>
            </w:r>
          </w:p>
        </w:tc>
      </w:tr>
      <w:tr w14:paraId="1151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96" w:type="dxa"/>
            <w:noWrap w:val="0"/>
            <w:vAlign w:val="center"/>
          </w:tcPr>
          <w:p w14:paraId="024E8393">
            <w:pPr>
              <w:jc w:val="center"/>
              <w:rPr>
                <w:rFonts w:ascii="宋体" w:cs="Times New Roman"/>
                <w:color w:val="auto"/>
                <w:sz w:val="24"/>
                <w:szCs w:val="24"/>
              </w:rPr>
            </w:pPr>
            <w:r>
              <w:rPr>
                <w:rFonts w:ascii="宋体" w:hAnsi="宋体" w:cs="宋体"/>
                <w:color w:val="auto"/>
                <w:sz w:val="24"/>
                <w:szCs w:val="24"/>
              </w:rPr>
              <w:t>18</w:t>
            </w:r>
          </w:p>
        </w:tc>
        <w:tc>
          <w:tcPr>
            <w:tcW w:w="1452" w:type="dxa"/>
            <w:noWrap w:val="0"/>
            <w:vAlign w:val="center"/>
          </w:tcPr>
          <w:p w14:paraId="09B2B8C4">
            <w:pPr>
              <w:jc w:val="center"/>
              <w:rPr>
                <w:rFonts w:ascii="宋体" w:cs="Times New Roman"/>
                <w:color w:val="auto"/>
                <w:sz w:val="24"/>
                <w:szCs w:val="24"/>
              </w:rPr>
            </w:pPr>
            <w:r>
              <w:rPr>
                <w:rFonts w:hint="eastAsia" w:ascii="宋体" w:hAnsi="宋体" w:cs="宋体"/>
                <w:color w:val="auto"/>
                <w:sz w:val="24"/>
                <w:szCs w:val="24"/>
              </w:rPr>
              <w:t>辛辣料</w:t>
            </w:r>
          </w:p>
        </w:tc>
        <w:tc>
          <w:tcPr>
            <w:tcW w:w="6943" w:type="dxa"/>
            <w:noWrap w:val="0"/>
            <w:vAlign w:val="center"/>
          </w:tcPr>
          <w:p w14:paraId="71DFDB1D">
            <w:pPr>
              <w:ind w:firstLine="480" w:firstLineChars="200"/>
              <w:rPr>
                <w:rFonts w:ascii="宋体" w:cs="Times New Roman"/>
                <w:color w:val="auto"/>
                <w:sz w:val="24"/>
                <w:szCs w:val="24"/>
              </w:rPr>
            </w:pPr>
            <w:r>
              <w:rPr>
                <w:rFonts w:hint="eastAsia" w:ascii="宋体" w:hAnsi="宋体" w:cs="宋体"/>
                <w:color w:val="auto"/>
                <w:sz w:val="24"/>
                <w:szCs w:val="24"/>
              </w:rPr>
              <w:t>辛辣料是采用植物果实和种子粉碎而配制成的天然植物香料，如五香粉、胡椒粉、花椒粉、咖喱粉、芥末粉等，辛辣料的主要原料有八角、花椒、胡椒、桂皮、小茴香、大茴香、辣椒、孜然等。</w:t>
            </w:r>
          </w:p>
          <w:p w14:paraId="5C4CC079">
            <w:pPr>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辛辣料呈干燥状，具有该种香料植物所特有的色、香、味，没有不纯正的气味和味道，无发霉味或其他异味。</w:t>
            </w:r>
          </w:p>
          <w:p w14:paraId="64BBC4B5">
            <w:pPr>
              <w:rPr>
                <w:rFonts w:ascii="宋体" w:cs="Times New Roman"/>
                <w:color w:val="auto"/>
                <w:sz w:val="24"/>
                <w:szCs w:val="24"/>
              </w:rPr>
            </w:pPr>
          </w:p>
        </w:tc>
      </w:tr>
    </w:tbl>
    <w:p w14:paraId="1EB0ACD7">
      <w:pPr>
        <w:tabs>
          <w:tab w:val="left" w:pos="709"/>
        </w:tabs>
        <w:adjustRightInd w:val="0"/>
        <w:snapToGrid w:val="0"/>
        <w:spacing w:line="360" w:lineRule="auto"/>
        <w:jc w:val="left"/>
        <w:rPr>
          <w:rFonts w:ascii="宋体" w:cs="Times New Roman"/>
          <w:color w:val="auto"/>
          <w:sz w:val="24"/>
          <w:szCs w:val="24"/>
        </w:rPr>
      </w:pPr>
    </w:p>
    <w:p w14:paraId="76CEE575">
      <w:pPr>
        <w:pStyle w:val="5"/>
        <w:adjustRightInd w:val="0"/>
        <w:snapToGrid w:val="0"/>
        <w:spacing w:line="360" w:lineRule="auto"/>
        <w:rPr>
          <w:rFonts w:hAnsi="宋体" w:cs="Times New Roman"/>
          <w:b/>
          <w:bCs/>
          <w:color w:val="auto"/>
          <w:sz w:val="24"/>
          <w:szCs w:val="24"/>
        </w:rPr>
      </w:pPr>
      <w:r>
        <w:rPr>
          <w:rFonts w:hAnsi="宋体"/>
          <w:b/>
          <w:bCs/>
          <w:color w:val="auto"/>
          <w:sz w:val="24"/>
          <w:szCs w:val="24"/>
        </w:rPr>
        <w:t>2.2.</w:t>
      </w:r>
      <w:r>
        <w:rPr>
          <w:rFonts w:hint="eastAsia" w:hAnsi="宋体"/>
          <w:b/>
          <w:bCs/>
          <w:color w:val="auto"/>
          <w:sz w:val="24"/>
          <w:szCs w:val="24"/>
        </w:rPr>
        <w:t>粮油类主要商品供货要求（包括但不限于以下内容）</w:t>
      </w:r>
    </w:p>
    <w:p w14:paraId="4B2AB681">
      <w:pPr>
        <w:pStyle w:val="5"/>
        <w:numPr>
          <w:ilvl w:val="0"/>
          <w:numId w:val="7"/>
        </w:numPr>
        <w:adjustRightInd w:val="0"/>
        <w:snapToGrid w:val="0"/>
        <w:spacing w:line="360" w:lineRule="auto"/>
        <w:rPr>
          <w:rFonts w:hAnsi="宋体" w:cs="Times New Roman"/>
          <w:color w:val="auto"/>
          <w:sz w:val="24"/>
          <w:szCs w:val="24"/>
        </w:rPr>
      </w:pPr>
      <w:r>
        <w:rPr>
          <w:rFonts w:hint="eastAsia" w:hAnsi="宋体"/>
          <w:color w:val="auto"/>
          <w:sz w:val="24"/>
          <w:szCs w:val="24"/>
        </w:rPr>
        <w:t>大米</w:t>
      </w:r>
    </w:p>
    <w:p w14:paraId="10DC9640">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大米品种要求：加工精度为国标三号大米</w:t>
      </w:r>
    </w:p>
    <w:tbl>
      <w:tblPr>
        <w:tblStyle w:val="8"/>
        <w:tblW w:w="8386" w:type="dxa"/>
        <w:tblInd w:w="2" w:type="dxa"/>
        <w:tblLayout w:type="fixed"/>
        <w:tblCellMar>
          <w:top w:w="0" w:type="dxa"/>
          <w:left w:w="0" w:type="dxa"/>
          <w:bottom w:w="0" w:type="dxa"/>
          <w:right w:w="0" w:type="dxa"/>
        </w:tblCellMar>
      </w:tblPr>
      <w:tblGrid>
        <w:gridCol w:w="915"/>
        <w:gridCol w:w="1830"/>
        <w:gridCol w:w="2775"/>
        <w:gridCol w:w="2866"/>
      </w:tblGrid>
      <w:tr w14:paraId="6F9297FA">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3CEE7965">
            <w:pPr>
              <w:jc w:val="center"/>
              <w:rPr>
                <w:rFonts w:ascii="宋体" w:cs="Times New Roman"/>
                <w:color w:val="auto"/>
                <w:sz w:val="24"/>
                <w:szCs w:val="24"/>
              </w:rPr>
            </w:pPr>
            <w:r>
              <w:rPr>
                <w:rFonts w:hint="eastAsia" w:ascii="宋体" w:hAnsi="宋体" w:cs="宋体"/>
                <w:color w:val="auto"/>
                <w:sz w:val="24"/>
                <w:szCs w:val="24"/>
              </w:rPr>
              <w:t>序号</w:t>
            </w:r>
          </w:p>
        </w:tc>
        <w:tc>
          <w:tcPr>
            <w:tcW w:w="4605" w:type="dxa"/>
            <w:gridSpan w:val="2"/>
            <w:tcBorders>
              <w:top w:val="single" w:color="000008" w:sz="4" w:space="0"/>
              <w:left w:val="nil"/>
              <w:bottom w:val="single" w:color="000008" w:sz="4" w:space="0"/>
              <w:right w:val="single" w:color="000008" w:sz="4" w:space="0"/>
            </w:tcBorders>
            <w:noWrap w:val="0"/>
            <w:vAlign w:val="center"/>
          </w:tcPr>
          <w:p w14:paraId="7B6DC1E3">
            <w:pPr>
              <w:jc w:val="center"/>
              <w:rPr>
                <w:rFonts w:ascii="宋体" w:cs="Times New Roman"/>
                <w:color w:val="auto"/>
                <w:sz w:val="24"/>
                <w:szCs w:val="24"/>
              </w:rPr>
            </w:pPr>
            <w:r>
              <w:rPr>
                <w:rFonts w:hint="eastAsia" w:ascii="宋体" w:hAnsi="宋体" w:cs="宋体"/>
                <w:color w:val="auto"/>
                <w:sz w:val="24"/>
                <w:szCs w:val="24"/>
              </w:rPr>
              <w:t>内容</w:t>
            </w:r>
          </w:p>
        </w:tc>
        <w:tc>
          <w:tcPr>
            <w:tcW w:w="2866" w:type="dxa"/>
            <w:tcBorders>
              <w:top w:val="single" w:color="000008" w:sz="4" w:space="0"/>
              <w:left w:val="nil"/>
              <w:bottom w:val="single" w:color="000008" w:sz="4" w:space="0"/>
              <w:right w:val="single" w:color="000008" w:sz="4" w:space="0"/>
            </w:tcBorders>
            <w:noWrap w:val="0"/>
            <w:vAlign w:val="center"/>
          </w:tcPr>
          <w:p w14:paraId="3CD0D78E">
            <w:pPr>
              <w:jc w:val="center"/>
              <w:rPr>
                <w:rFonts w:ascii="宋体" w:cs="Times New Roman"/>
                <w:color w:val="auto"/>
                <w:sz w:val="24"/>
                <w:szCs w:val="24"/>
              </w:rPr>
            </w:pPr>
            <w:r>
              <w:rPr>
                <w:rFonts w:hint="eastAsia" w:ascii="宋体" w:hAnsi="宋体" w:cs="宋体"/>
                <w:color w:val="auto"/>
                <w:sz w:val="24"/>
                <w:szCs w:val="24"/>
              </w:rPr>
              <w:t>质量标准</w:t>
            </w:r>
          </w:p>
        </w:tc>
      </w:tr>
      <w:tr w14:paraId="25E4EF65">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28348FDE">
            <w:pPr>
              <w:jc w:val="center"/>
              <w:rPr>
                <w:rFonts w:ascii="宋体" w:cs="Times New Roman"/>
                <w:color w:val="auto"/>
                <w:sz w:val="24"/>
                <w:szCs w:val="24"/>
              </w:rPr>
            </w:pPr>
            <w:r>
              <w:rPr>
                <w:rFonts w:ascii="宋体" w:hAnsi="宋体" w:cs="宋体"/>
                <w:color w:val="auto"/>
                <w:sz w:val="24"/>
                <w:szCs w:val="24"/>
              </w:rPr>
              <w:t>1</w:t>
            </w:r>
          </w:p>
        </w:tc>
        <w:tc>
          <w:tcPr>
            <w:tcW w:w="4605" w:type="dxa"/>
            <w:gridSpan w:val="2"/>
            <w:tcBorders>
              <w:top w:val="single" w:color="000008" w:sz="4" w:space="0"/>
              <w:left w:val="nil"/>
              <w:bottom w:val="single" w:color="000008" w:sz="4" w:space="0"/>
              <w:right w:val="single" w:color="000008" w:sz="4" w:space="0"/>
            </w:tcBorders>
            <w:noWrap w:val="0"/>
            <w:vAlign w:val="center"/>
          </w:tcPr>
          <w:p w14:paraId="5D24AAD7">
            <w:pPr>
              <w:jc w:val="center"/>
              <w:rPr>
                <w:rFonts w:ascii="宋体" w:cs="Times New Roman"/>
                <w:color w:val="auto"/>
                <w:sz w:val="24"/>
                <w:szCs w:val="24"/>
              </w:rPr>
            </w:pPr>
            <w:r>
              <w:rPr>
                <w:rFonts w:hint="eastAsia" w:ascii="宋体" w:hAnsi="宋体" w:cs="宋体"/>
                <w:color w:val="auto"/>
                <w:sz w:val="24"/>
                <w:szCs w:val="24"/>
              </w:rPr>
              <w:t>加工精度</w:t>
            </w:r>
          </w:p>
        </w:tc>
        <w:tc>
          <w:tcPr>
            <w:tcW w:w="2866" w:type="dxa"/>
            <w:tcBorders>
              <w:top w:val="single" w:color="000008" w:sz="4" w:space="0"/>
              <w:left w:val="nil"/>
              <w:bottom w:val="single" w:color="000008" w:sz="4" w:space="0"/>
              <w:right w:val="single" w:color="000008" w:sz="4" w:space="0"/>
            </w:tcBorders>
            <w:noWrap w:val="0"/>
            <w:vAlign w:val="center"/>
          </w:tcPr>
          <w:p w14:paraId="34A7BBE7">
            <w:pPr>
              <w:jc w:val="center"/>
              <w:rPr>
                <w:rFonts w:ascii="宋体" w:cs="Times New Roman"/>
                <w:color w:val="auto"/>
                <w:sz w:val="24"/>
                <w:szCs w:val="24"/>
              </w:rPr>
            </w:pPr>
            <w:r>
              <w:rPr>
                <w:rFonts w:hint="eastAsia" w:ascii="宋体" w:hAnsi="宋体" w:cs="宋体"/>
                <w:color w:val="auto"/>
                <w:sz w:val="24"/>
                <w:szCs w:val="24"/>
              </w:rPr>
              <w:t>符合二等品要求</w:t>
            </w:r>
          </w:p>
        </w:tc>
      </w:tr>
      <w:tr w14:paraId="43419F2E">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12B349B9">
            <w:pPr>
              <w:jc w:val="center"/>
              <w:rPr>
                <w:rFonts w:ascii="宋体" w:cs="Times New Roman"/>
                <w:color w:val="auto"/>
                <w:sz w:val="24"/>
                <w:szCs w:val="24"/>
              </w:rPr>
            </w:pPr>
            <w:r>
              <w:rPr>
                <w:rFonts w:ascii="宋体" w:hAnsi="宋体" w:cs="宋体"/>
                <w:color w:val="auto"/>
                <w:sz w:val="24"/>
                <w:szCs w:val="24"/>
              </w:rPr>
              <w:t>2</w:t>
            </w:r>
          </w:p>
        </w:tc>
        <w:tc>
          <w:tcPr>
            <w:tcW w:w="4605" w:type="dxa"/>
            <w:gridSpan w:val="2"/>
            <w:tcBorders>
              <w:top w:val="single" w:color="000008" w:sz="4" w:space="0"/>
              <w:left w:val="nil"/>
              <w:bottom w:val="single" w:color="000008" w:sz="4" w:space="0"/>
              <w:right w:val="single" w:color="000008" w:sz="4" w:space="0"/>
            </w:tcBorders>
            <w:noWrap w:val="0"/>
            <w:vAlign w:val="center"/>
          </w:tcPr>
          <w:p w14:paraId="06F2A6C8">
            <w:pPr>
              <w:jc w:val="center"/>
              <w:rPr>
                <w:rFonts w:ascii="宋体" w:cs="Times New Roman"/>
                <w:color w:val="auto"/>
                <w:sz w:val="24"/>
                <w:szCs w:val="24"/>
              </w:rPr>
            </w:pPr>
            <w:r>
              <w:rPr>
                <w:rFonts w:hint="eastAsia" w:ascii="宋体" w:hAnsi="宋体" w:cs="宋体"/>
                <w:color w:val="auto"/>
                <w:sz w:val="24"/>
                <w:szCs w:val="24"/>
              </w:rPr>
              <w:t>不完善粒</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7E580BB0">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6.0</w:t>
            </w:r>
          </w:p>
        </w:tc>
      </w:tr>
      <w:tr w14:paraId="06793A08">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9ED1A1B">
            <w:pPr>
              <w:jc w:val="center"/>
              <w:rPr>
                <w:rFonts w:ascii="宋体" w:cs="Times New Roman"/>
                <w:color w:val="auto"/>
                <w:sz w:val="24"/>
                <w:szCs w:val="24"/>
              </w:rPr>
            </w:pPr>
            <w:r>
              <w:rPr>
                <w:rFonts w:ascii="宋体" w:hAnsi="宋体" w:cs="宋体"/>
                <w:color w:val="auto"/>
                <w:sz w:val="24"/>
                <w:szCs w:val="24"/>
              </w:rPr>
              <w:t>3</w:t>
            </w:r>
          </w:p>
        </w:tc>
        <w:tc>
          <w:tcPr>
            <w:tcW w:w="1830" w:type="dxa"/>
            <w:vMerge w:val="restart"/>
            <w:tcBorders>
              <w:top w:val="nil"/>
              <w:left w:val="nil"/>
              <w:bottom w:val="single" w:color="000008" w:sz="4" w:space="0"/>
              <w:right w:val="single" w:color="000008" w:sz="4" w:space="0"/>
            </w:tcBorders>
            <w:noWrap w:val="0"/>
            <w:vAlign w:val="center"/>
          </w:tcPr>
          <w:p w14:paraId="09D92E2C">
            <w:pPr>
              <w:jc w:val="center"/>
              <w:rPr>
                <w:rFonts w:ascii="宋体" w:cs="Times New Roman"/>
                <w:color w:val="auto"/>
                <w:sz w:val="24"/>
                <w:szCs w:val="24"/>
              </w:rPr>
            </w:pPr>
            <w:r>
              <w:rPr>
                <w:rFonts w:hint="eastAsia" w:ascii="宋体" w:hAnsi="宋体" w:cs="宋体"/>
                <w:color w:val="auto"/>
                <w:sz w:val="24"/>
                <w:szCs w:val="24"/>
              </w:rPr>
              <w:t>最大限度</w:t>
            </w:r>
          </w:p>
          <w:p w14:paraId="53EBBF59">
            <w:pPr>
              <w:jc w:val="center"/>
              <w:rPr>
                <w:rFonts w:ascii="宋体" w:cs="Times New Roman"/>
                <w:color w:val="auto"/>
                <w:sz w:val="24"/>
                <w:szCs w:val="24"/>
              </w:rPr>
            </w:pPr>
            <w:r>
              <w:rPr>
                <w:rFonts w:hint="eastAsia" w:ascii="宋体" w:hAnsi="宋体" w:cs="宋体"/>
                <w:color w:val="auto"/>
                <w:sz w:val="24"/>
                <w:szCs w:val="24"/>
              </w:rPr>
              <w:t>杂质</w:t>
            </w:r>
          </w:p>
        </w:tc>
        <w:tc>
          <w:tcPr>
            <w:tcW w:w="2775" w:type="dxa"/>
            <w:tcBorders>
              <w:top w:val="single" w:color="000008" w:sz="4" w:space="0"/>
              <w:left w:val="nil"/>
              <w:bottom w:val="single" w:color="000008" w:sz="4" w:space="0"/>
              <w:right w:val="single" w:color="000008" w:sz="4" w:space="0"/>
            </w:tcBorders>
            <w:noWrap w:val="0"/>
            <w:vAlign w:val="center"/>
          </w:tcPr>
          <w:p w14:paraId="00DD7B5A">
            <w:pPr>
              <w:jc w:val="center"/>
              <w:rPr>
                <w:rFonts w:ascii="宋体" w:cs="Times New Roman"/>
                <w:color w:val="auto"/>
                <w:sz w:val="24"/>
                <w:szCs w:val="24"/>
              </w:rPr>
            </w:pPr>
            <w:r>
              <w:rPr>
                <w:rFonts w:hint="eastAsia" w:ascii="宋体" w:hAnsi="宋体" w:cs="宋体"/>
                <w:color w:val="auto"/>
                <w:sz w:val="24"/>
                <w:szCs w:val="24"/>
              </w:rPr>
              <w:t>总量</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4A7EBFF5">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0.40</w:t>
            </w:r>
          </w:p>
        </w:tc>
      </w:tr>
      <w:tr w14:paraId="135529F4">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4B547042">
            <w:pPr>
              <w:jc w:val="center"/>
              <w:rPr>
                <w:rFonts w:ascii="宋体" w:cs="Times New Roman"/>
                <w:color w:val="auto"/>
                <w:sz w:val="24"/>
                <w:szCs w:val="24"/>
              </w:rPr>
            </w:pPr>
            <w:r>
              <w:rPr>
                <w:rFonts w:ascii="宋体" w:hAnsi="宋体" w:cs="宋体"/>
                <w:color w:val="auto"/>
                <w:sz w:val="24"/>
                <w:szCs w:val="24"/>
              </w:rPr>
              <w:t>4</w:t>
            </w:r>
          </w:p>
        </w:tc>
        <w:tc>
          <w:tcPr>
            <w:tcW w:w="1830" w:type="dxa"/>
            <w:vMerge w:val="continue"/>
            <w:tcBorders>
              <w:top w:val="nil"/>
              <w:left w:val="nil"/>
              <w:bottom w:val="single" w:color="000008" w:sz="4" w:space="0"/>
              <w:right w:val="single" w:color="000008" w:sz="4" w:space="0"/>
            </w:tcBorders>
            <w:noWrap w:val="0"/>
            <w:vAlign w:val="center"/>
          </w:tcPr>
          <w:p w14:paraId="09A14A02">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66ACB4C5">
            <w:pPr>
              <w:jc w:val="center"/>
              <w:rPr>
                <w:rFonts w:ascii="宋体" w:cs="Times New Roman"/>
                <w:color w:val="auto"/>
                <w:sz w:val="24"/>
                <w:szCs w:val="24"/>
              </w:rPr>
            </w:pPr>
            <w:r>
              <w:rPr>
                <w:rFonts w:hint="eastAsia" w:ascii="宋体" w:hAnsi="宋体" w:cs="宋体"/>
                <w:color w:val="auto"/>
                <w:sz w:val="24"/>
                <w:szCs w:val="24"/>
              </w:rPr>
              <w:t>糠粉</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0CF8F428">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0.20</w:t>
            </w:r>
          </w:p>
        </w:tc>
      </w:tr>
      <w:tr w14:paraId="5599D238">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auto" w:sz="4" w:space="0"/>
              <w:right w:val="single" w:color="000008" w:sz="4" w:space="0"/>
            </w:tcBorders>
            <w:noWrap w:val="0"/>
            <w:vAlign w:val="center"/>
          </w:tcPr>
          <w:p w14:paraId="15313F47">
            <w:pPr>
              <w:jc w:val="center"/>
              <w:rPr>
                <w:rFonts w:ascii="宋体" w:cs="Times New Roman"/>
                <w:color w:val="auto"/>
                <w:sz w:val="24"/>
                <w:szCs w:val="24"/>
              </w:rPr>
            </w:pPr>
            <w:r>
              <w:rPr>
                <w:rFonts w:ascii="宋体" w:hAnsi="宋体" w:cs="宋体"/>
                <w:color w:val="auto"/>
                <w:sz w:val="24"/>
                <w:szCs w:val="24"/>
              </w:rPr>
              <w:t>5</w:t>
            </w:r>
          </w:p>
        </w:tc>
        <w:tc>
          <w:tcPr>
            <w:tcW w:w="1830" w:type="dxa"/>
            <w:vMerge w:val="continue"/>
            <w:tcBorders>
              <w:top w:val="nil"/>
              <w:left w:val="nil"/>
              <w:bottom w:val="single" w:color="000008" w:sz="4" w:space="0"/>
              <w:right w:val="single" w:color="000008" w:sz="4" w:space="0"/>
            </w:tcBorders>
            <w:noWrap w:val="0"/>
            <w:vAlign w:val="center"/>
          </w:tcPr>
          <w:p w14:paraId="7F264ADE">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6D465D02">
            <w:pPr>
              <w:jc w:val="center"/>
              <w:rPr>
                <w:rFonts w:ascii="宋体" w:cs="Times New Roman"/>
                <w:color w:val="auto"/>
                <w:sz w:val="24"/>
                <w:szCs w:val="24"/>
              </w:rPr>
            </w:pPr>
            <w:r>
              <w:rPr>
                <w:rFonts w:hint="eastAsia" w:ascii="宋体" w:hAnsi="宋体" w:cs="宋体"/>
                <w:color w:val="auto"/>
                <w:sz w:val="24"/>
                <w:szCs w:val="24"/>
              </w:rPr>
              <w:t>矿物质</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689A0AEC">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0.02</w:t>
            </w:r>
          </w:p>
        </w:tc>
      </w:tr>
      <w:tr w14:paraId="738307F6">
        <w:tblPrEx>
          <w:tblCellMar>
            <w:top w:w="0" w:type="dxa"/>
            <w:left w:w="0" w:type="dxa"/>
            <w:bottom w:w="0" w:type="dxa"/>
            <w:right w:w="0" w:type="dxa"/>
          </w:tblCellMar>
        </w:tblPrEx>
        <w:trPr>
          <w:trHeight w:val="369"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30A68CF3">
            <w:pPr>
              <w:jc w:val="center"/>
              <w:rPr>
                <w:rFonts w:ascii="宋体" w:cs="Times New Roman"/>
                <w:color w:val="auto"/>
                <w:sz w:val="24"/>
                <w:szCs w:val="24"/>
              </w:rPr>
            </w:pPr>
            <w:r>
              <w:rPr>
                <w:rFonts w:ascii="宋体" w:hAnsi="宋体" w:cs="宋体"/>
                <w:color w:val="auto"/>
                <w:sz w:val="24"/>
                <w:szCs w:val="24"/>
              </w:rPr>
              <w:t>6</w:t>
            </w:r>
          </w:p>
        </w:tc>
        <w:tc>
          <w:tcPr>
            <w:tcW w:w="1830" w:type="dxa"/>
            <w:vMerge w:val="continue"/>
            <w:tcBorders>
              <w:top w:val="nil"/>
              <w:left w:val="single" w:color="auto" w:sz="4" w:space="0"/>
              <w:bottom w:val="single" w:color="000008" w:sz="4" w:space="0"/>
              <w:right w:val="single" w:color="000008" w:sz="4" w:space="0"/>
            </w:tcBorders>
            <w:noWrap w:val="0"/>
            <w:vAlign w:val="center"/>
          </w:tcPr>
          <w:p w14:paraId="16F9A797">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3B9CA5BA">
            <w:pPr>
              <w:jc w:val="center"/>
              <w:rPr>
                <w:rFonts w:ascii="宋体" w:cs="Times New Roman"/>
                <w:color w:val="auto"/>
                <w:sz w:val="24"/>
                <w:szCs w:val="24"/>
              </w:rPr>
            </w:pPr>
            <w:r>
              <w:rPr>
                <w:rFonts w:hint="eastAsia" w:ascii="宋体" w:hAnsi="宋体" w:cs="宋体"/>
                <w:color w:val="auto"/>
                <w:sz w:val="24"/>
                <w:szCs w:val="24"/>
              </w:rPr>
              <w:t>带壳稞粒粒</w:t>
            </w:r>
            <w:r>
              <w:rPr>
                <w:rFonts w:ascii="宋体" w:hAnsi="宋体" w:cs="宋体"/>
                <w:color w:val="auto"/>
                <w:sz w:val="24"/>
                <w:szCs w:val="24"/>
              </w:rPr>
              <w:t>/kg</w:t>
            </w:r>
          </w:p>
        </w:tc>
        <w:tc>
          <w:tcPr>
            <w:tcW w:w="2866" w:type="dxa"/>
            <w:tcBorders>
              <w:top w:val="single" w:color="000008" w:sz="4" w:space="0"/>
              <w:left w:val="nil"/>
              <w:bottom w:val="single" w:color="000008" w:sz="4" w:space="0"/>
              <w:right w:val="single" w:color="000008" w:sz="4" w:space="0"/>
            </w:tcBorders>
            <w:noWrap w:val="0"/>
            <w:vAlign w:val="center"/>
          </w:tcPr>
          <w:p w14:paraId="7FC5B6D6">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70</w:t>
            </w:r>
          </w:p>
        </w:tc>
      </w:tr>
      <w:tr w14:paraId="450B2861">
        <w:tblPrEx>
          <w:tblCellMar>
            <w:top w:w="0" w:type="dxa"/>
            <w:left w:w="0" w:type="dxa"/>
            <w:bottom w:w="0" w:type="dxa"/>
            <w:right w:w="0" w:type="dxa"/>
          </w:tblCellMar>
        </w:tblPrEx>
        <w:trPr>
          <w:trHeight w:val="369" w:hRule="atLeast"/>
        </w:trPr>
        <w:tc>
          <w:tcPr>
            <w:tcW w:w="915" w:type="dxa"/>
            <w:tcBorders>
              <w:top w:val="single" w:color="auto" w:sz="4" w:space="0"/>
              <w:left w:val="single" w:color="000008" w:sz="4" w:space="0"/>
              <w:bottom w:val="single" w:color="000008" w:sz="4" w:space="0"/>
              <w:right w:val="single" w:color="000008" w:sz="4" w:space="0"/>
            </w:tcBorders>
            <w:noWrap w:val="0"/>
            <w:vAlign w:val="center"/>
          </w:tcPr>
          <w:p w14:paraId="55EB87D4">
            <w:pPr>
              <w:jc w:val="center"/>
              <w:rPr>
                <w:rFonts w:ascii="宋体" w:cs="Times New Roman"/>
                <w:color w:val="auto"/>
                <w:sz w:val="24"/>
                <w:szCs w:val="24"/>
              </w:rPr>
            </w:pPr>
            <w:r>
              <w:rPr>
                <w:rFonts w:ascii="宋体" w:hAnsi="宋体" w:cs="宋体"/>
                <w:color w:val="auto"/>
                <w:sz w:val="24"/>
                <w:szCs w:val="24"/>
              </w:rPr>
              <w:t>7</w:t>
            </w:r>
          </w:p>
        </w:tc>
        <w:tc>
          <w:tcPr>
            <w:tcW w:w="1830" w:type="dxa"/>
            <w:vMerge w:val="continue"/>
            <w:tcBorders>
              <w:top w:val="nil"/>
              <w:left w:val="nil"/>
              <w:bottom w:val="single" w:color="000008" w:sz="4" w:space="0"/>
              <w:right w:val="single" w:color="000008" w:sz="4" w:space="0"/>
            </w:tcBorders>
            <w:noWrap w:val="0"/>
            <w:vAlign w:val="center"/>
          </w:tcPr>
          <w:p w14:paraId="08471809">
            <w:pPr>
              <w:jc w:val="center"/>
              <w:rPr>
                <w:rFonts w:ascii="宋体" w:cs="Times New Roman"/>
                <w:color w:val="auto"/>
                <w:sz w:val="24"/>
                <w:szCs w:val="24"/>
              </w:rPr>
            </w:pPr>
          </w:p>
        </w:tc>
        <w:tc>
          <w:tcPr>
            <w:tcW w:w="2775" w:type="dxa"/>
            <w:tcBorders>
              <w:top w:val="single" w:color="000008" w:sz="4" w:space="0"/>
              <w:left w:val="nil"/>
              <w:bottom w:val="single" w:color="000008" w:sz="4" w:space="0"/>
              <w:right w:val="single" w:color="000008" w:sz="4" w:space="0"/>
            </w:tcBorders>
            <w:noWrap w:val="0"/>
            <w:vAlign w:val="center"/>
          </w:tcPr>
          <w:p w14:paraId="7EE80AAA">
            <w:pPr>
              <w:jc w:val="center"/>
              <w:rPr>
                <w:rFonts w:ascii="宋体" w:cs="Times New Roman"/>
                <w:color w:val="auto"/>
                <w:sz w:val="24"/>
                <w:szCs w:val="24"/>
              </w:rPr>
            </w:pPr>
            <w:r>
              <w:rPr>
                <w:rFonts w:hint="eastAsia" w:ascii="宋体" w:hAnsi="宋体" w:cs="宋体"/>
                <w:color w:val="auto"/>
                <w:sz w:val="24"/>
                <w:szCs w:val="24"/>
              </w:rPr>
              <w:t>稻谷粒</w:t>
            </w:r>
            <w:r>
              <w:rPr>
                <w:rFonts w:ascii="宋体" w:cs="Times New Roman"/>
                <w:color w:val="auto"/>
                <w:sz w:val="24"/>
                <w:szCs w:val="24"/>
              </w:rPr>
              <w:t> </w:t>
            </w:r>
            <w:r>
              <w:rPr>
                <w:rFonts w:hint="eastAsia" w:ascii="宋体" w:hAnsi="宋体" w:cs="宋体"/>
                <w:color w:val="auto"/>
                <w:sz w:val="24"/>
                <w:szCs w:val="24"/>
              </w:rPr>
              <w:t>粒</w:t>
            </w:r>
            <w:r>
              <w:rPr>
                <w:rFonts w:ascii="宋体" w:hAnsi="宋体" w:cs="宋体"/>
                <w:color w:val="auto"/>
                <w:sz w:val="24"/>
                <w:szCs w:val="24"/>
              </w:rPr>
              <w:t>/kg</w:t>
            </w:r>
          </w:p>
        </w:tc>
        <w:tc>
          <w:tcPr>
            <w:tcW w:w="2866" w:type="dxa"/>
            <w:tcBorders>
              <w:top w:val="single" w:color="000008" w:sz="4" w:space="0"/>
              <w:left w:val="nil"/>
              <w:bottom w:val="single" w:color="000008" w:sz="4" w:space="0"/>
              <w:right w:val="single" w:color="000008" w:sz="4" w:space="0"/>
            </w:tcBorders>
            <w:noWrap w:val="0"/>
            <w:vAlign w:val="center"/>
          </w:tcPr>
          <w:p w14:paraId="48C5BD39">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16</w:t>
            </w:r>
          </w:p>
        </w:tc>
      </w:tr>
      <w:tr w14:paraId="7639CBCD">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03AA352D">
            <w:pPr>
              <w:jc w:val="center"/>
              <w:rPr>
                <w:rFonts w:ascii="宋体" w:cs="Times New Roman"/>
                <w:color w:val="auto"/>
                <w:sz w:val="24"/>
                <w:szCs w:val="24"/>
              </w:rPr>
            </w:pPr>
            <w:r>
              <w:rPr>
                <w:rFonts w:ascii="宋体" w:hAnsi="宋体" w:cs="宋体"/>
                <w:color w:val="auto"/>
                <w:sz w:val="24"/>
                <w:szCs w:val="24"/>
              </w:rPr>
              <w:t>8</w:t>
            </w:r>
          </w:p>
        </w:tc>
        <w:tc>
          <w:tcPr>
            <w:tcW w:w="4605" w:type="dxa"/>
            <w:gridSpan w:val="2"/>
            <w:tcBorders>
              <w:top w:val="single" w:color="000008" w:sz="4" w:space="0"/>
              <w:left w:val="nil"/>
              <w:bottom w:val="single" w:color="000008" w:sz="4" w:space="0"/>
              <w:right w:val="single" w:color="000008" w:sz="4" w:space="0"/>
            </w:tcBorders>
            <w:noWrap w:val="0"/>
            <w:vAlign w:val="center"/>
          </w:tcPr>
          <w:p w14:paraId="72D916C4">
            <w:pPr>
              <w:jc w:val="center"/>
              <w:rPr>
                <w:rFonts w:ascii="宋体" w:cs="Times New Roman"/>
                <w:color w:val="auto"/>
                <w:sz w:val="24"/>
                <w:szCs w:val="24"/>
              </w:rPr>
            </w:pPr>
            <w:r>
              <w:rPr>
                <w:rFonts w:hint="eastAsia" w:ascii="宋体" w:hAnsi="宋体" w:cs="宋体"/>
                <w:color w:val="auto"/>
                <w:sz w:val="24"/>
                <w:szCs w:val="24"/>
              </w:rPr>
              <w:t>碎米总量</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72972476">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35.0</w:t>
            </w:r>
          </w:p>
        </w:tc>
      </w:tr>
      <w:tr w14:paraId="3E39EB7A">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2C68E4FC">
            <w:pPr>
              <w:jc w:val="center"/>
              <w:rPr>
                <w:rFonts w:ascii="宋体" w:cs="Times New Roman"/>
                <w:color w:val="auto"/>
                <w:sz w:val="24"/>
                <w:szCs w:val="24"/>
              </w:rPr>
            </w:pPr>
            <w:r>
              <w:rPr>
                <w:rFonts w:ascii="宋体" w:hAnsi="宋体" w:cs="宋体"/>
                <w:color w:val="auto"/>
                <w:sz w:val="24"/>
                <w:szCs w:val="24"/>
              </w:rPr>
              <w:t>9</w:t>
            </w:r>
          </w:p>
        </w:tc>
        <w:tc>
          <w:tcPr>
            <w:tcW w:w="4605" w:type="dxa"/>
            <w:gridSpan w:val="2"/>
            <w:tcBorders>
              <w:top w:val="single" w:color="000008" w:sz="4" w:space="0"/>
              <w:left w:val="nil"/>
              <w:bottom w:val="single" w:color="000008" w:sz="4" w:space="0"/>
              <w:right w:val="single" w:color="000008" w:sz="4" w:space="0"/>
            </w:tcBorders>
            <w:noWrap w:val="0"/>
            <w:vAlign w:val="center"/>
          </w:tcPr>
          <w:p w14:paraId="330770A7">
            <w:pPr>
              <w:jc w:val="center"/>
              <w:rPr>
                <w:rFonts w:ascii="宋体" w:cs="Times New Roman"/>
                <w:color w:val="auto"/>
                <w:sz w:val="24"/>
                <w:szCs w:val="24"/>
              </w:rPr>
            </w:pPr>
            <w:r>
              <w:rPr>
                <w:rFonts w:hint="eastAsia" w:ascii="宋体" w:hAnsi="宋体" w:cs="宋体"/>
                <w:color w:val="auto"/>
                <w:sz w:val="24"/>
                <w:szCs w:val="24"/>
              </w:rPr>
              <w:t>小碎米</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472155EE">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2.5</w:t>
            </w:r>
          </w:p>
        </w:tc>
      </w:tr>
      <w:tr w14:paraId="0FF756C7">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49837B4C">
            <w:pPr>
              <w:jc w:val="center"/>
              <w:rPr>
                <w:rFonts w:ascii="宋体" w:cs="Times New Roman"/>
                <w:color w:val="auto"/>
                <w:sz w:val="24"/>
                <w:szCs w:val="24"/>
              </w:rPr>
            </w:pPr>
            <w:r>
              <w:rPr>
                <w:rFonts w:ascii="宋体" w:hAnsi="宋体" w:cs="宋体"/>
                <w:color w:val="auto"/>
                <w:sz w:val="24"/>
                <w:szCs w:val="24"/>
              </w:rPr>
              <w:t>10</w:t>
            </w:r>
          </w:p>
        </w:tc>
        <w:tc>
          <w:tcPr>
            <w:tcW w:w="4605" w:type="dxa"/>
            <w:gridSpan w:val="2"/>
            <w:tcBorders>
              <w:top w:val="single" w:color="000008" w:sz="4" w:space="0"/>
              <w:left w:val="nil"/>
              <w:bottom w:val="single" w:color="000008" w:sz="4" w:space="0"/>
              <w:right w:val="single" w:color="000008" w:sz="4" w:space="0"/>
            </w:tcBorders>
            <w:noWrap w:val="0"/>
            <w:vAlign w:val="center"/>
          </w:tcPr>
          <w:p w14:paraId="688862A9">
            <w:pPr>
              <w:jc w:val="center"/>
              <w:rPr>
                <w:rFonts w:ascii="宋体" w:cs="Times New Roman"/>
                <w:color w:val="auto"/>
                <w:sz w:val="24"/>
                <w:szCs w:val="24"/>
              </w:rPr>
            </w:pPr>
            <w:r>
              <w:rPr>
                <w:rFonts w:hint="eastAsia" w:ascii="宋体" w:hAnsi="宋体" w:cs="宋体"/>
                <w:color w:val="auto"/>
                <w:sz w:val="24"/>
                <w:szCs w:val="24"/>
              </w:rPr>
              <w:t>黄粒米</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3431AFD8">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2.0</w:t>
            </w:r>
          </w:p>
        </w:tc>
      </w:tr>
      <w:tr w14:paraId="6E78301F">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636DEC71">
            <w:pPr>
              <w:jc w:val="center"/>
              <w:rPr>
                <w:rFonts w:ascii="宋体" w:cs="Times New Roman"/>
                <w:color w:val="auto"/>
                <w:sz w:val="24"/>
                <w:szCs w:val="24"/>
              </w:rPr>
            </w:pPr>
            <w:r>
              <w:rPr>
                <w:rFonts w:ascii="宋体" w:hAnsi="宋体" w:cs="宋体"/>
                <w:color w:val="auto"/>
                <w:sz w:val="24"/>
                <w:szCs w:val="24"/>
              </w:rPr>
              <w:t>11</w:t>
            </w:r>
          </w:p>
        </w:tc>
        <w:tc>
          <w:tcPr>
            <w:tcW w:w="4605" w:type="dxa"/>
            <w:gridSpan w:val="2"/>
            <w:tcBorders>
              <w:top w:val="single" w:color="000008" w:sz="4" w:space="0"/>
              <w:left w:val="nil"/>
              <w:bottom w:val="single" w:color="000008" w:sz="4" w:space="0"/>
              <w:right w:val="single" w:color="000008" w:sz="4" w:space="0"/>
            </w:tcBorders>
            <w:noWrap w:val="0"/>
            <w:vAlign w:val="center"/>
          </w:tcPr>
          <w:p w14:paraId="36F13452">
            <w:pPr>
              <w:jc w:val="center"/>
              <w:rPr>
                <w:rFonts w:ascii="宋体" w:cs="Times New Roman"/>
                <w:color w:val="auto"/>
                <w:sz w:val="24"/>
                <w:szCs w:val="24"/>
              </w:rPr>
            </w:pPr>
            <w:r>
              <w:rPr>
                <w:rFonts w:hint="eastAsia" w:ascii="宋体" w:hAnsi="宋体" w:cs="宋体"/>
                <w:color w:val="auto"/>
                <w:sz w:val="24"/>
                <w:szCs w:val="24"/>
              </w:rPr>
              <w:t>水份</w:t>
            </w:r>
            <w:r>
              <w:rPr>
                <w:rFonts w:ascii="宋体" w:hAnsi="宋体" w:cs="宋体"/>
                <w:color w:val="auto"/>
                <w:sz w:val="24"/>
                <w:szCs w:val="24"/>
              </w:rPr>
              <w:t>%</w:t>
            </w:r>
          </w:p>
        </w:tc>
        <w:tc>
          <w:tcPr>
            <w:tcW w:w="2866" w:type="dxa"/>
            <w:tcBorders>
              <w:top w:val="single" w:color="000008" w:sz="4" w:space="0"/>
              <w:left w:val="nil"/>
              <w:bottom w:val="single" w:color="000008" w:sz="4" w:space="0"/>
              <w:right w:val="single" w:color="000008" w:sz="4" w:space="0"/>
            </w:tcBorders>
            <w:noWrap w:val="0"/>
            <w:vAlign w:val="center"/>
          </w:tcPr>
          <w:p w14:paraId="2CF8060A">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14.0</w:t>
            </w:r>
          </w:p>
        </w:tc>
      </w:tr>
      <w:tr w14:paraId="116F5657">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07A5465">
            <w:pPr>
              <w:jc w:val="center"/>
              <w:rPr>
                <w:rFonts w:ascii="宋体" w:cs="Times New Roman"/>
                <w:color w:val="auto"/>
                <w:sz w:val="24"/>
                <w:szCs w:val="24"/>
              </w:rPr>
            </w:pPr>
            <w:r>
              <w:rPr>
                <w:rFonts w:ascii="宋体" w:hAnsi="宋体" w:cs="宋体"/>
                <w:color w:val="auto"/>
                <w:sz w:val="24"/>
                <w:szCs w:val="24"/>
              </w:rPr>
              <w:t>12</w:t>
            </w:r>
          </w:p>
        </w:tc>
        <w:tc>
          <w:tcPr>
            <w:tcW w:w="4605" w:type="dxa"/>
            <w:gridSpan w:val="2"/>
            <w:tcBorders>
              <w:top w:val="single" w:color="000008" w:sz="4" w:space="0"/>
              <w:left w:val="nil"/>
              <w:bottom w:val="single" w:color="000008" w:sz="4" w:space="0"/>
              <w:right w:val="single" w:color="000008" w:sz="4" w:space="0"/>
            </w:tcBorders>
            <w:noWrap w:val="0"/>
            <w:vAlign w:val="center"/>
          </w:tcPr>
          <w:p w14:paraId="5E517A23">
            <w:pPr>
              <w:jc w:val="center"/>
              <w:rPr>
                <w:rFonts w:ascii="宋体" w:cs="Times New Roman"/>
                <w:color w:val="auto"/>
                <w:sz w:val="24"/>
                <w:szCs w:val="24"/>
              </w:rPr>
            </w:pPr>
            <w:r>
              <w:rPr>
                <w:rFonts w:hint="eastAsia" w:ascii="宋体" w:hAnsi="宋体" w:cs="宋体"/>
                <w:color w:val="auto"/>
                <w:sz w:val="24"/>
                <w:szCs w:val="24"/>
              </w:rPr>
              <w:t>六六六（以成品粮计）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7FAD5BA1">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0.05</w:t>
            </w:r>
          </w:p>
        </w:tc>
      </w:tr>
      <w:tr w14:paraId="411148BC">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568F6726">
            <w:pPr>
              <w:jc w:val="center"/>
              <w:rPr>
                <w:rFonts w:ascii="宋体" w:cs="Times New Roman"/>
                <w:color w:val="auto"/>
                <w:sz w:val="24"/>
                <w:szCs w:val="24"/>
              </w:rPr>
            </w:pPr>
            <w:r>
              <w:rPr>
                <w:rFonts w:ascii="宋体" w:hAnsi="宋体" w:cs="宋体"/>
                <w:color w:val="auto"/>
                <w:sz w:val="24"/>
                <w:szCs w:val="24"/>
              </w:rPr>
              <w:t>13</w:t>
            </w:r>
          </w:p>
        </w:tc>
        <w:tc>
          <w:tcPr>
            <w:tcW w:w="4605" w:type="dxa"/>
            <w:gridSpan w:val="2"/>
            <w:tcBorders>
              <w:top w:val="single" w:color="000008" w:sz="4" w:space="0"/>
              <w:left w:val="nil"/>
              <w:bottom w:val="single" w:color="000008" w:sz="4" w:space="0"/>
              <w:right w:val="single" w:color="000008" w:sz="4" w:space="0"/>
            </w:tcBorders>
            <w:noWrap w:val="0"/>
            <w:vAlign w:val="center"/>
          </w:tcPr>
          <w:p w14:paraId="7FA7FF46">
            <w:pPr>
              <w:jc w:val="center"/>
              <w:rPr>
                <w:rFonts w:ascii="宋体" w:cs="Times New Roman"/>
                <w:color w:val="auto"/>
                <w:sz w:val="24"/>
                <w:szCs w:val="24"/>
              </w:rPr>
            </w:pPr>
            <w:r>
              <w:rPr>
                <w:rFonts w:hint="eastAsia" w:ascii="宋体" w:hAnsi="宋体" w:cs="宋体"/>
                <w:color w:val="auto"/>
                <w:sz w:val="24"/>
                <w:szCs w:val="24"/>
              </w:rPr>
              <w:t>滴滴涕（以成品粮计）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448E8733">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0.05</w:t>
            </w:r>
          </w:p>
        </w:tc>
      </w:tr>
      <w:tr w14:paraId="379AE852">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7E9DB78D">
            <w:pPr>
              <w:jc w:val="center"/>
              <w:rPr>
                <w:rFonts w:ascii="宋体" w:cs="Times New Roman"/>
                <w:color w:val="auto"/>
                <w:sz w:val="24"/>
                <w:szCs w:val="24"/>
              </w:rPr>
            </w:pPr>
            <w:r>
              <w:rPr>
                <w:rFonts w:ascii="宋体" w:hAnsi="宋体" w:cs="宋体"/>
                <w:color w:val="auto"/>
                <w:sz w:val="24"/>
                <w:szCs w:val="24"/>
              </w:rPr>
              <w:t>14</w:t>
            </w:r>
          </w:p>
        </w:tc>
        <w:tc>
          <w:tcPr>
            <w:tcW w:w="4605" w:type="dxa"/>
            <w:gridSpan w:val="2"/>
            <w:tcBorders>
              <w:top w:val="single" w:color="000008" w:sz="4" w:space="0"/>
              <w:left w:val="nil"/>
              <w:bottom w:val="single" w:color="000008" w:sz="4" w:space="0"/>
              <w:right w:val="single" w:color="000008" w:sz="4" w:space="0"/>
            </w:tcBorders>
            <w:noWrap w:val="0"/>
            <w:vAlign w:val="center"/>
          </w:tcPr>
          <w:p w14:paraId="43140EEB">
            <w:pPr>
              <w:jc w:val="center"/>
              <w:rPr>
                <w:rFonts w:ascii="宋体" w:cs="Times New Roman"/>
                <w:color w:val="auto"/>
                <w:sz w:val="24"/>
                <w:szCs w:val="24"/>
              </w:rPr>
            </w:pPr>
            <w:r>
              <w:rPr>
                <w:rFonts w:hint="eastAsia" w:ascii="宋体" w:hAnsi="宋体" w:cs="宋体"/>
                <w:color w:val="auto"/>
                <w:sz w:val="24"/>
                <w:szCs w:val="24"/>
              </w:rPr>
              <w:t>黄曲霉毒素</w:t>
            </w:r>
            <w:r>
              <w:rPr>
                <w:rFonts w:ascii="宋体" w:hAnsi="宋体" w:cs="宋体"/>
                <w:color w:val="auto"/>
                <w:sz w:val="24"/>
                <w:szCs w:val="24"/>
              </w:rPr>
              <w:t xml:space="preserve"> B1 </w:t>
            </w:r>
            <w:r>
              <w:rPr>
                <w:rFonts w:hint="eastAsia" w:ascii="宋体" w:hAnsi="宋体" w:cs="宋体"/>
                <w:color w:val="auto"/>
                <w:sz w:val="24"/>
                <w:szCs w:val="24"/>
              </w:rPr>
              <w:t>μ</w:t>
            </w:r>
            <w:r>
              <w:rPr>
                <w:rFonts w:ascii="宋体" w:hAnsi="宋体" w:cs="宋体"/>
                <w:color w:val="auto"/>
                <w:sz w:val="24"/>
                <w:szCs w:val="24"/>
              </w:rPr>
              <w:t>g/kg</w:t>
            </w:r>
          </w:p>
        </w:tc>
        <w:tc>
          <w:tcPr>
            <w:tcW w:w="2866" w:type="dxa"/>
            <w:tcBorders>
              <w:top w:val="single" w:color="000008" w:sz="4" w:space="0"/>
              <w:left w:val="nil"/>
              <w:bottom w:val="single" w:color="000008" w:sz="4" w:space="0"/>
              <w:right w:val="single" w:color="000008" w:sz="4" w:space="0"/>
            </w:tcBorders>
            <w:noWrap w:val="0"/>
            <w:vAlign w:val="center"/>
          </w:tcPr>
          <w:p w14:paraId="4DE3A2F4">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10</w:t>
            </w:r>
          </w:p>
        </w:tc>
      </w:tr>
      <w:tr w14:paraId="40022ABA">
        <w:tblPrEx>
          <w:tblCellMar>
            <w:top w:w="0" w:type="dxa"/>
            <w:left w:w="0" w:type="dxa"/>
            <w:bottom w:w="0" w:type="dxa"/>
            <w:right w:w="0" w:type="dxa"/>
          </w:tblCellMar>
        </w:tblPrEx>
        <w:trPr>
          <w:trHeight w:val="90"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2B0950FC">
            <w:pPr>
              <w:jc w:val="center"/>
              <w:rPr>
                <w:rFonts w:ascii="宋体" w:cs="Times New Roman"/>
                <w:color w:val="auto"/>
                <w:sz w:val="24"/>
                <w:szCs w:val="24"/>
              </w:rPr>
            </w:pPr>
            <w:r>
              <w:rPr>
                <w:rFonts w:ascii="宋体" w:hAnsi="宋体" w:cs="宋体"/>
                <w:color w:val="auto"/>
                <w:sz w:val="24"/>
                <w:szCs w:val="24"/>
              </w:rPr>
              <w:t>15</w:t>
            </w:r>
          </w:p>
        </w:tc>
        <w:tc>
          <w:tcPr>
            <w:tcW w:w="4605" w:type="dxa"/>
            <w:gridSpan w:val="2"/>
            <w:tcBorders>
              <w:top w:val="single" w:color="000008" w:sz="4" w:space="0"/>
              <w:left w:val="nil"/>
              <w:bottom w:val="single" w:color="000008" w:sz="4" w:space="0"/>
              <w:right w:val="single" w:color="000008" w:sz="4" w:space="0"/>
            </w:tcBorders>
            <w:noWrap w:val="0"/>
            <w:vAlign w:val="center"/>
          </w:tcPr>
          <w:p w14:paraId="05947340">
            <w:pPr>
              <w:jc w:val="center"/>
              <w:rPr>
                <w:rFonts w:ascii="宋体" w:cs="Times New Roman"/>
                <w:color w:val="auto"/>
                <w:sz w:val="24"/>
                <w:szCs w:val="24"/>
              </w:rPr>
            </w:pPr>
            <w:r>
              <w:rPr>
                <w:rFonts w:hint="eastAsia" w:ascii="宋体" w:hAnsi="宋体" w:cs="宋体"/>
                <w:color w:val="auto"/>
                <w:sz w:val="24"/>
                <w:szCs w:val="24"/>
              </w:rPr>
              <w:t>汞（以</w:t>
            </w:r>
            <w:r>
              <w:rPr>
                <w:rFonts w:ascii="宋体" w:hAnsi="宋体" w:cs="宋体"/>
                <w:color w:val="auto"/>
                <w:sz w:val="24"/>
                <w:szCs w:val="24"/>
              </w:rPr>
              <w:t>Hg</w:t>
            </w:r>
            <w:r>
              <w:rPr>
                <w:rFonts w:hint="eastAsia" w:ascii="宋体" w:hAnsi="宋体" w:cs="宋体"/>
                <w:color w:val="auto"/>
                <w:sz w:val="24"/>
                <w:szCs w:val="24"/>
              </w:rPr>
              <w:t>计）</w:t>
            </w:r>
            <w:r>
              <w:rPr>
                <w:rFonts w:ascii="宋体" w:hAnsi="宋体" w:cs="宋体"/>
                <w:color w:val="auto"/>
                <w:sz w:val="24"/>
                <w:szCs w:val="24"/>
              </w:rPr>
              <w:t>mg/kg</w:t>
            </w:r>
          </w:p>
        </w:tc>
        <w:tc>
          <w:tcPr>
            <w:tcW w:w="2866" w:type="dxa"/>
            <w:tcBorders>
              <w:top w:val="single" w:color="000008" w:sz="4" w:space="0"/>
              <w:left w:val="nil"/>
              <w:bottom w:val="single" w:color="000008" w:sz="4" w:space="0"/>
              <w:right w:val="single" w:color="000008" w:sz="4" w:space="0"/>
            </w:tcBorders>
            <w:noWrap w:val="0"/>
            <w:vAlign w:val="center"/>
          </w:tcPr>
          <w:p w14:paraId="0DB636FC">
            <w:pPr>
              <w:jc w:val="cente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0.02</w:t>
            </w:r>
          </w:p>
        </w:tc>
      </w:tr>
      <w:tr w14:paraId="2693A854">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71D2820D">
            <w:pPr>
              <w:jc w:val="center"/>
              <w:rPr>
                <w:rFonts w:ascii="宋体" w:cs="Times New Roman"/>
                <w:color w:val="auto"/>
                <w:sz w:val="24"/>
                <w:szCs w:val="24"/>
              </w:rPr>
            </w:pPr>
            <w:r>
              <w:rPr>
                <w:rFonts w:ascii="宋体" w:hAnsi="宋体" w:cs="宋体"/>
                <w:color w:val="auto"/>
                <w:sz w:val="24"/>
                <w:szCs w:val="24"/>
              </w:rPr>
              <w:t>16</w:t>
            </w:r>
          </w:p>
        </w:tc>
        <w:tc>
          <w:tcPr>
            <w:tcW w:w="4605" w:type="dxa"/>
            <w:gridSpan w:val="2"/>
            <w:tcBorders>
              <w:top w:val="single" w:color="000008" w:sz="4" w:space="0"/>
              <w:left w:val="nil"/>
              <w:bottom w:val="single" w:color="000008" w:sz="4" w:space="0"/>
              <w:right w:val="single" w:color="000008" w:sz="4" w:space="0"/>
            </w:tcBorders>
            <w:noWrap w:val="0"/>
            <w:vAlign w:val="center"/>
          </w:tcPr>
          <w:p w14:paraId="782CCD39">
            <w:pPr>
              <w:jc w:val="center"/>
              <w:rPr>
                <w:rFonts w:ascii="宋体" w:cs="Times New Roman"/>
                <w:color w:val="auto"/>
                <w:sz w:val="24"/>
                <w:szCs w:val="24"/>
              </w:rPr>
            </w:pPr>
            <w:r>
              <w:rPr>
                <w:rFonts w:hint="eastAsia" w:ascii="宋体" w:hAnsi="宋体" w:cs="宋体"/>
                <w:color w:val="auto"/>
                <w:sz w:val="24"/>
                <w:szCs w:val="24"/>
              </w:rPr>
              <w:t>色泽</w:t>
            </w:r>
            <w:r>
              <w:rPr>
                <w:rFonts w:ascii="宋体" w:cs="Times New Roman"/>
                <w:color w:val="auto"/>
                <w:sz w:val="24"/>
                <w:szCs w:val="24"/>
              </w:rPr>
              <w:t> </w:t>
            </w:r>
            <w:r>
              <w:rPr>
                <w:rFonts w:hint="eastAsia" w:ascii="宋体" w:hAnsi="宋体" w:cs="宋体"/>
                <w:color w:val="auto"/>
                <w:sz w:val="24"/>
                <w:szCs w:val="24"/>
              </w:rPr>
              <w:t>气味</w:t>
            </w:r>
            <w:r>
              <w:rPr>
                <w:rFonts w:ascii="宋体" w:cs="Times New Roman"/>
                <w:color w:val="auto"/>
                <w:sz w:val="24"/>
                <w:szCs w:val="24"/>
              </w:rPr>
              <w:t> </w:t>
            </w:r>
            <w:r>
              <w:rPr>
                <w:rFonts w:hint="eastAsia" w:ascii="宋体" w:hAnsi="宋体" w:cs="宋体"/>
                <w:color w:val="auto"/>
                <w:sz w:val="24"/>
                <w:szCs w:val="24"/>
              </w:rPr>
              <w:t>口味</w:t>
            </w:r>
          </w:p>
        </w:tc>
        <w:tc>
          <w:tcPr>
            <w:tcW w:w="2866" w:type="dxa"/>
            <w:tcBorders>
              <w:top w:val="single" w:color="000008" w:sz="4" w:space="0"/>
              <w:left w:val="nil"/>
              <w:bottom w:val="single" w:color="000008" w:sz="4" w:space="0"/>
              <w:right w:val="single" w:color="000008" w:sz="4" w:space="0"/>
            </w:tcBorders>
            <w:noWrap w:val="0"/>
            <w:vAlign w:val="center"/>
          </w:tcPr>
          <w:p w14:paraId="3D65629B">
            <w:pPr>
              <w:jc w:val="center"/>
              <w:rPr>
                <w:rFonts w:ascii="宋体" w:cs="Times New Roman"/>
                <w:color w:val="auto"/>
                <w:sz w:val="24"/>
                <w:szCs w:val="24"/>
              </w:rPr>
            </w:pPr>
            <w:r>
              <w:rPr>
                <w:rFonts w:hint="eastAsia" w:ascii="宋体" w:hAnsi="宋体" w:cs="宋体"/>
                <w:color w:val="auto"/>
                <w:sz w:val="24"/>
                <w:szCs w:val="24"/>
              </w:rPr>
              <w:t>正常</w:t>
            </w:r>
          </w:p>
        </w:tc>
      </w:tr>
      <w:tr w14:paraId="0D49A55B">
        <w:tblPrEx>
          <w:tblCellMar>
            <w:top w:w="0" w:type="dxa"/>
            <w:left w:w="0" w:type="dxa"/>
            <w:bottom w:w="0" w:type="dxa"/>
            <w:right w:w="0" w:type="dxa"/>
          </w:tblCellMar>
        </w:tblPrEx>
        <w:trPr>
          <w:trHeight w:val="369" w:hRule="atLeast"/>
        </w:trPr>
        <w:tc>
          <w:tcPr>
            <w:tcW w:w="915" w:type="dxa"/>
            <w:tcBorders>
              <w:top w:val="single" w:color="000008" w:sz="4" w:space="0"/>
              <w:left w:val="single" w:color="000008" w:sz="4" w:space="0"/>
              <w:bottom w:val="single" w:color="000008" w:sz="4" w:space="0"/>
              <w:right w:val="single" w:color="000008" w:sz="4" w:space="0"/>
            </w:tcBorders>
            <w:noWrap w:val="0"/>
            <w:vAlign w:val="center"/>
          </w:tcPr>
          <w:p w14:paraId="12A0ED0E">
            <w:pPr>
              <w:jc w:val="center"/>
              <w:rPr>
                <w:rFonts w:ascii="宋体" w:cs="Times New Roman"/>
                <w:color w:val="auto"/>
                <w:sz w:val="24"/>
                <w:szCs w:val="24"/>
              </w:rPr>
            </w:pPr>
            <w:r>
              <w:rPr>
                <w:rFonts w:ascii="宋体" w:hAnsi="宋体" w:cs="宋体"/>
                <w:color w:val="auto"/>
                <w:sz w:val="24"/>
                <w:szCs w:val="24"/>
              </w:rPr>
              <w:t>17</w:t>
            </w:r>
          </w:p>
        </w:tc>
        <w:tc>
          <w:tcPr>
            <w:tcW w:w="4605" w:type="dxa"/>
            <w:gridSpan w:val="2"/>
            <w:tcBorders>
              <w:top w:val="single" w:color="000008" w:sz="4" w:space="0"/>
              <w:left w:val="nil"/>
              <w:bottom w:val="single" w:color="000008" w:sz="4" w:space="0"/>
              <w:right w:val="single" w:color="000008" w:sz="4" w:space="0"/>
            </w:tcBorders>
            <w:noWrap w:val="0"/>
            <w:vAlign w:val="center"/>
          </w:tcPr>
          <w:p w14:paraId="1431F499">
            <w:pPr>
              <w:jc w:val="center"/>
              <w:rPr>
                <w:rFonts w:ascii="宋体" w:cs="Times New Roman"/>
                <w:color w:val="auto"/>
                <w:sz w:val="24"/>
                <w:szCs w:val="24"/>
              </w:rPr>
            </w:pPr>
            <w:r>
              <w:rPr>
                <w:rFonts w:hint="eastAsia" w:ascii="宋体" w:hAnsi="宋体" w:cs="宋体"/>
                <w:color w:val="auto"/>
                <w:sz w:val="24"/>
                <w:szCs w:val="24"/>
              </w:rPr>
              <w:t>标签检验</w:t>
            </w:r>
          </w:p>
        </w:tc>
        <w:tc>
          <w:tcPr>
            <w:tcW w:w="2866" w:type="dxa"/>
            <w:tcBorders>
              <w:top w:val="single" w:color="000008" w:sz="4" w:space="0"/>
              <w:left w:val="nil"/>
              <w:bottom w:val="single" w:color="000008" w:sz="4" w:space="0"/>
              <w:right w:val="single" w:color="000008" w:sz="4" w:space="0"/>
            </w:tcBorders>
            <w:noWrap w:val="0"/>
            <w:vAlign w:val="center"/>
          </w:tcPr>
          <w:p w14:paraId="11451E07">
            <w:pPr>
              <w:jc w:val="center"/>
              <w:rPr>
                <w:rFonts w:ascii="宋体" w:cs="Times New Roman"/>
                <w:color w:val="auto"/>
                <w:sz w:val="24"/>
                <w:szCs w:val="24"/>
              </w:rPr>
            </w:pPr>
            <w:r>
              <w:rPr>
                <w:rFonts w:hint="eastAsia" w:ascii="宋体" w:hAnsi="宋体" w:cs="宋体"/>
                <w:color w:val="auto"/>
                <w:sz w:val="24"/>
                <w:szCs w:val="24"/>
              </w:rPr>
              <w:t>符合</w:t>
            </w:r>
            <w:r>
              <w:rPr>
                <w:rFonts w:ascii="宋体" w:hAnsi="宋体" w:cs="宋体"/>
                <w:color w:val="auto"/>
                <w:sz w:val="24"/>
                <w:szCs w:val="24"/>
              </w:rPr>
              <w:t>GB2715-2005</w:t>
            </w:r>
            <w:r>
              <w:rPr>
                <w:rFonts w:hint="eastAsia" w:ascii="宋体" w:hAnsi="宋体" w:cs="宋体"/>
                <w:color w:val="auto"/>
                <w:sz w:val="24"/>
                <w:szCs w:val="24"/>
              </w:rPr>
              <w:t>标准第九款要求</w:t>
            </w:r>
          </w:p>
        </w:tc>
      </w:tr>
    </w:tbl>
    <w:p w14:paraId="0EE27E38">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大米质量标准：</w:t>
      </w:r>
    </w:p>
    <w:p w14:paraId="0E7A496B">
      <w:pPr>
        <w:pStyle w:val="5"/>
        <w:tabs>
          <w:tab w:val="left" w:pos="2340"/>
        </w:tabs>
        <w:adjustRightInd w:val="0"/>
        <w:snapToGrid w:val="0"/>
        <w:spacing w:line="360" w:lineRule="auto"/>
        <w:ind w:left="420" w:leftChars="200" w:firstLine="480" w:firstLineChars="200"/>
        <w:rPr>
          <w:rFonts w:hAnsi="宋体" w:cs="Times New Roman"/>
          <w:color w:val="auto"/>
          <w:sz w:val="24"/>
          <w:szCs w:val="24"/>
        </w:rPr>
      </w:pPr>
      <w:r>
        <w:rPr>
          <w:rFonts w:hint="eastAsia" w:hAnsi="宋体"/>
          <w:color w:val="auto"/>
          <w:sz w:val="24"/>
          <w:szCs w:val="24"/>
        </w:rPr>
        <w:t>有</w:t>
      </w:r>
      <w:r>
        <w:rPr>
          <w:rFonts w:hAnsi="宋体"/>
          <w:color w:val="auto"/>
          <w:sz w:val="24"/>
          <w:szCs w:val="24"/>
        </w:rPr>
        <w:t xml:space="preserve"> </w:t>
      </w:r>
      <w:r>
        <w:rPr>
          <w:rFonts w:hint="eastAsia" w:hAnsi="宋体"/>
          <w:color w:val="auto"/>
          <w:sz w:val="24"/>
          <w:szCs w:val="24"/>
        </w:rPr>
        <w:t>“</w:t>
      </w:r>
      <w:r>
        <w:rPr>
          <w:rFonts w:hAnsi="宋体"/>
          <w:color w:val="auto"/>
          <w:sz w:val="24"/>
          <w:szCs w:val="24"/>
        </w:rPr>
        <w:t>SC</w:t>
      </w:r>
      <w:r>
        <w:rPr>
          <w:rFonts w:hint="eastAsia" w:hAnsi="宋体"/>
          <w:color w:val="auto"/>
          <w:sz w:val="24"/>
          <w:szCs w:val="24"/>
        </w:rPr>
        <w:t>”标志，标明加工厂名称、品名、生产日期、保持期或保存期，供货时的剩余保质期不少于三分之二，质量等级、产品标准号、产品合格证，质量符合大米国家标准（</w:t>
      </w:r>
      <w:r>
        <w:rPr>
          <w:rFonts w:hAnsi="宋体"/>
          <w:color w:val="auto"/>
          <w:sz w:val="24"/>
          <w:szCs w:val="24"/>
        </w:rPr>
        <w:t>GB1354-86</w:t>
      </w:r>
      <w:r>
        <w:rPr>
          <w:rFonts w:hint="eastAsia" w:hAnsi="宋体"/>
          <w:color w:val="auto"/>
          <w:sz w:val="24"/>
          <w:szCs w:val="24"/>
        </w:rPr>
        <w:t>）与国家粮食卫生标准（</w:t>
      </w:r>
      <w:r>
        <w:rPr>
          <w:rFonts w:hAnsi="宋体"/>
          <w:color w:val="auto"/>
          <w:sz w:val="24"/>
          <w:szCs w:val="24"/>
        </w:rPr>
        <w:t>GB2715-2005</w:t>
      </w:r>
      <w:r>
        <w:rPr>
          <w:rFonts w:hint="eastAsia" w:hAnsi="宋体"/>
          <w:color w:val="auto"/>
          <w:sz w:val="24"/>
          <w:szCs w:val="24"/>
        </w:rPr>
        <w:t>）。</w:t>
      </w:r>
    </w:p>
    <w:p w14:paraId="22386396">
      <w:pPr>
        <w:pStyle w:val="5"/>
        <w:tabs>
          <w:tab w:val="left" w:pos="2340"/>
        </w:tabs>
        <w:adjustRightInd w:val="0"/>
        <w:snapToGrid w:val="0"/>
        <w:spacing w:line="360" w:lineRule="auto"/>
        <w:ind w:left="420" w:leftChars="200"/>
        <w:rPr>
          <w:rFonts w:hAnsi="宋体" w:cs="Times New Roman"/>
          <w:color w:val="auto"/>
          <w:sz w:val="24"/>
          <w:szCs w:val="24"/>
        </w:rPr>
      </w:pPr>
      <w:r>
        <w:rPr>
          <w:rFonts w:hAnsi="宋体"/>
          <w:color w:val="auto"/>
          <w:sz w:val="24"/>
          <w:szCs w:val="24"/>
        </w:rPr>
        <w:t xml:space="preserve">    </w:t>
      </w:r>
      <w:r>
        <w:rPr>
          <w:rFonts w:hint="eastAsia" w:hAnsi="宋体"/>
          <w:color w:val="auto"/>
          <w:sz w:val="24"/>
          <w:szCs w:val="24"/>
        </w:rPr>
        <w:t>具有固有色泽和香味，无污染、无虫害，色泽、气味、口味正常，无异味或霉味（霉变），无虫蛀结块挂丝或杂质异等，符合国家粮食卫生标准。</w:t>
      </w:r>
    </w:p>
    <w:p w14:paraId="1FDCBB59">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大米包装规格：</w:t>
      </w:r>
      <w:r>
        <w:rPr>
          <w:rFonts w:hAnsi="宋体"/>
          <w:color w:val="auto"/>
          <w:sz w:val="24"/>
          <w:szCs w:val="24"/>
        </w:rPr>
        <w:t>50KG/</w:t>
      </w:r>
      <w:r>
        <w:rPr>
          <w:rFonts w:hint="eastAsia" w:hAnsi="宋体"/>
          <w:color w:val="auto"/>
          <w:sz w:val="24"/>
          <w:szCs w:val="24"/>
        </w:rPr>
        <w:t>包、</w:t>
      </w:r>
      <w:r>
        <w:rPr>
          <w:rFonts w:hAnsi="宋体"/>
          <w:color w:val="auto"/>
          <w:sz w:val="24"/>
          <w:szCs w:val="24"/>
        </w:rPr>
        <w:t>30KG/</w:t>
      </w:r>
      <w:r>
        <w:rPr>
          <w:rFonts w:hint="eastAsia" w:hAnsi="宋体"/>
          <w:color w:val="auto"/>
          <w:sz w:val="24"/>
          <w:szCs w:val="24"/>
        </w:rPr>
        <w:t>包、</w:t>
      </w:r>
      <w:r>
        <w:rPr>
          <w:rFonts w:hAnsi="宋体"/>
          <w:color w:val="auto"/>
          <w:sz w:val="24"/>
          <w:szCs w:val="24"/>
        </w:rPr>
        <w:t>15KG/</w:t>
      </w:r>
      <w:r>
        <w:rPr>
          <w:rFonts w:hint="eastAsia" w:hAnsi="宋体"/>
          <w:color w:val="auto"/>
          <w:sz w:val="24"/>
          <w:szCs w:val="24"/>
        </w:rPr>
        <w:t>包</w:t>
      </w:r>
    </w:p>
    <w:p w14:paraId="2A5AE889">
      <w:pPr>
        <w:pStyle w:val="5"/>
        <w:numPr>
          <w:ilvl w:val="0"/>
          <w:numId w:val="8"/>
        </w:numPr>
        <w:tabs>
          <w:tab w:val="left" w:pos="2340"/>
        </w:tabs>
        <w:adjustRightInd w:val="0"/>
        <w:snapToGrid w:val="0"/>
        <w:spacing w:line="360" w:lineRule="auto"/>
        <w:ind w:firstLine="480" w:firstLineChars="200"/>
        <w:rPr>
          <w:rFonts w:hAnsi="宋体" w:cs="Times New Roman"/>
          <w:color w:val="auto"/>
          <w:sz w:val="24"/>
          <w:szCs w:val="24"/>
        </w:rPr>
      </w:pPr>
      <w:r>
        <w:rPr>
          <w:rFonts w:hint="eastAsia" w:hAnsi="宋体"/>
          <w:color w:val="auto"/>
          <w:sz w:val="24"/>
          <w:szCs w:val="24"/>
        </w:rPr>
        <w:t>大米要求的资质证明：</w:t>
      </w:r>
    </w:p>
    <w:p w14:paraId="1DD638F6">
      <w:pPr>
        <w:pStyle w:val="5"/>
        <w:tabs>
          <w:tab w:val="left" w:pos="2340"/>
        </w:tabs>
        <w:adjustRightInd w:val="0"/>
        <w:snapToGrid w:val="0"/>
        <w:spacing w:line="360" w:lineRule="auto"/>
        <w:ind w:left="840" w:leftChars="400"/>
        <w:rPr>
          <w:rFonts w:hAnsi="宋体" w:cs="Times New Roman"/>
          <w:color w:val="auto"/>
          <w:sz w:val="24"/>
          <w:szCs w:val="24"/>
        </w:rPr>
      </w:pPr>
      <w:r>
        <w:rPr>
          <w:rFonts w:hint="eastAsia" w:hAnsi="宋体"/>
          <w:color w:val="auto"/>
          <w:sz w:val="24"/>
          <w:szCs w:val="24"/>
        </w:rPr>
        <w:t>生产（供应）企业的资质证明（首次供应时提供）：《营业执照》、《食品经营许可证》《全国工业产品生产许可证》。</w:t>
      </w:r>
    </w:p>
    <w:p w14:paraId="5331D09B">
      <w:pPr>
        <w:pStyle w:val="5"/>
        <w:tabs>
          <w:tab w:val="left" w:pos="2340"/>
        </w:tabs>
        <w:adjustRightInd w:val="0"/>
        <w:snapToGrid w:val="0"/>
        <w:spacing w:line="360" w:lineRule="auto"/>
        <w:ind w:left="420" w:leftChars="200" w:firstLine="480" w:firstLineChars="200"/>
        <w:rPr>
          <w:rFonts w:hAnsi="宋体" w:cs="Times New Roman"/>
          <w:color w:val="auto"/>
          <w:sz w:val="24"/>
          <w:szCs w:val="24"/>
        </w:rPr>
      </w:pPr>
      <w:r>
        <w:rPr>
          <w:rFonts w:hint="eastAsia" w:hAnsi="宋体"/>
          <w:color w:val="auto"/>
          <w:sz w:val="24"/>
          <w:szCs w:val="24"/>
        </w:rPr>
        <w:t>《产品质量检验报告》由政府产品质量监督部门出具，每季度一次。</w:t>
      </w:r>
    </w:p>
    <w:p w14:paraId="4F719335">
      <w:pPr>
        <w:pStyle w:val="5"/>
        <w:tabs>
          <w:tab w:val="left" w:pos="2340"/>
        </w:tabs>
        <w:adjustRightInd w:val="0"/>
        <w:snapToGrid w:val="0"/>
        <w:spacing w:line="360" w:lineRule="auto"/>
        <w:ind w:left="420" w:leftChars="200" w:firstLine="420"/>
        <w:rPr>
          <w:rFonts w:hAnsi="宋体" w:cs="Times New Roman"/>
          <w:color w:val="auto"/>
          <w:sz w:val="24"/>
          <w:szCs w:val="24"/>
        </w:rPr>
      </w:pPr>
      <w:r>
        <w:rPr>
          <w:rFonts w:hint="eastAsia" w:hAnsi="宋体"/>
          <w:color w:val="auto"/>
          <w:sz w:val="24"/>
          <w:szCs w:val="24"/>
        </w:rPr>
        <w:t>《出厂检验报告》交货时提供本批次产品的出厂（库）检验合格报告单。</w:t>
      </w:r>
    </w:p>
    <w:p w14:paraId="60AE818D">
      <w:pPr>
        <w:pStyle w:val="5"/>
        <w:numPr>
          <w:ilvl w:val="0"/>
          <w:numId w:val="7"/>
        </w:numPr>
        <w:adjustRightInd w:val="0"/>
        <w:snapToGrid w:val="0"/>
        <w:spacing w:line="360" w:lineRule="auto"/>
        <w:rPr>
          <w:rFonts w:hAnsi="宋体" w:cs="Times New Roman"/>
          <w:color w:val="auto"/>
          <w:sz w:val="24"/>
          <w:szCs w:val="24"/>
        </w:rPr>
      </w:pPr>
      <w:r>
        <w:rPr>
          <w:rFonts w:hint="eastAsia" w:hAnsi="宋体"/>
          <w:color w:val="auto"/>
          <w:sz w:val="24"/>
          <w:szCs w:val="24"/>
        </w:rPr>
        <w:t>食用油</w:t>
      </w:r>
    </w:p>
    <w:p w14:paraId="73D50DAD">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基本要求：外包装完好，有</w:t>
      </w:r>
      <w:r>
        <w:rPr>
          <w:rFonts w:hAnsi="宋体"/>
          <w:color w:val="auto"/>
          <w:sz w:val="24"/>
          <w:szCs w:val="24"/>
        </w:rPr>
        <w:t>SC</w:t>
      </w:r>
      <w:r>
        <w:rPr>
          <w:rFonts w:hint="eastAsia" w:hAnsi="宋体"/>
          <w:color w:val="auto"/>
          <w:sz w:val="24"/>
          <w:szCs w:val="24"/>
        </w:rPr>
        <w:t>标志，标明品名、厂名、重量、生产日期、保质期或保存期、执行标准，剩余保质期不少于三分二，具有产品合格证。具有正常植物油的色泽、透明度、气味和滋味，无焦臭、酸败及其他异味。</w:t>
      </w:r>
    </w:p>
    <w:p w14:paraId="7A2C439E">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食用油生产企业的资质证明（首次供应时提供）：《企业法人营业执照》、《食品经营许可证》、《全国工业产品生产许可证》。</w:t>
      </w:r>
    </w:p>
    <w:p w14:paraId="32BDF5F9">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气味、滋味：具有固有的气味和滋味，无异味。</w:t>
      </w:r>
    </w:p>
    <w:p w14:paraId="66F87C50">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加热试验（</w:t>
      </w:r>
      <w:r>
        <w:rPr>
          <w:rFonts w:hAnsi="宋体"/>
          <w:color w:val="auto"/>
          <w:sz w:val="24"/>
          <w:szCs w:val="24"/>
        </w:rPr>
        <w:t>280</w:t>
      </w:r>
      <w:r>
        <w:rPr>
          <w:rFonts w:hint="eastAsia" w:hAnsi="宋体"/>
          <w:color w:val="auto"/>
          <w:sz w:val="24"/>
          <w:szCs w:val="24"/>
        </w:rPr>
        <w:t>℃）油色不得变深，无析出物。</w:t>
      </w:r>
    </w:p>
    <w:p w14:paraId="6B45BEE1">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不得混有其他食用油或非食用油。</w:t>
      </w:r>
    </w:p>
    <w:p w14:paraId="233C555B">
      <w:pPr>
        <w:pStyle w:val="5"/>
        <w:numPr>
          <w:ilvl w:val="0"/>
          <w:numId w:val="9"/>
        </w:numPr>
        <w:tabs>
          <w:tab w:val="left" w:pos="2340"/>
        </w:tabs>
        <w:adjustRightInd w:val="0"/>
        <w:snapToGrid w:val="0"/>
        <w:spacing w:line="360" w:lineRule="auto"/>
        <w:ind w:left="900" w:leftChars="200" w:hanging="480" w:hangingChars="200"/>
        <w:rPr>
          <w:rFonts w:hAnsi="宋体" w:cs="Times New Roman"/>
          <w:color w:val="auto"/>
          <w:sz w:val="24"/>
          <w:szCs w:val="24"/>
        </w:rPr>
      </w:pPr>
      <w:r>
        <w:rPr>
          <w:rFonts w:hint="eastAsia" w:hAnsi="宋体"/>
          <w:color w:val="auto"/>
          <w:sz w:val="24"/>
          <w:szCs w:val="24"/>
        </w:rPr>
        <w:t>卫生标准和动植物检疫项目，按照国家有关规定执行。</w:t>
      </w:r>
    </w:p>
    <w:p w14:paraId="48855715">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包装要求</w:t>
      </w:r>
    </w:p>
    <w:p w14:paraId="7B05CAA2">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充分理解并认真遵循本招标文件的要求，所提供的货物必须是满足招标文件要求。保证合同货品均为正规生产的新鲜（冰鲜除外）、检验合格、无毒、无辐射、无侵权货品，符合国家有关卫生、质量、包装和保质标准，有使用有效期的货品，其剩余有效期不得少于标注有效期的</w:t>
      </w:r>
      <w:r>
        <w:rPr>
          <w:rFonts w:ascii="宋体" w:hAnsi="宋体" w:cs="宋体"/>
          <w:color w:val="auto"/>
          <w:sz w:val="24"/>
          <w:szCs w:val="24"/>
        </w:rPr>
        <w:t>80%</w:t>
      </w:r>
      <w:r>
        <w:rPr>
          <w:rFonts w:hint="eastAsia" w:ascii="宋体" w:hAnsi="宋体" w:cs="宋体"/>
          <w:color w:val="auto"/>
          <w:sz w:val="24"/>
          <w:szCs w:val="24"/>
        </w:rPr>
        <w:t>。冰鲜类食材保质期不得超过</w:t>
      </w:r>
      <w:r>
        <w:rPr>
          <w:rFonts w:ascii="宋体" w:hAnsi="宋体" w:cs="宋体"/>
          <w:color w:val="auto"/>
          <w:sz w:val="24"/>
          <w:szCs w:val="24"/>
        </w:rPr>
        <w:t>48</w:t>
      </w:r>
      <w:r>
        <w:rPr>
          <w:rFonts w:hint="eastAsia" w:ascii="宋体" w:hAnsi="宋体" w:cs="宋体"/>
          <w:color w:val="auto"/>
          <w:sz w:val="24"/>
          <w:szCs w:val="24"/>
        </w:rPr>
        <w:t>小时。</w:t>
      </w:r>
    </w:p>
    <w:p w14:paraId="3E0934DC">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货物有包装的，货物的包装必须完整清洁（无损、无污、无皱），采购人有权拒收包装不整齐、已拆封的商品。预包装食品的包装上应当有标签，标签应当标明下列事项：</w:t>
      </w:r>
    </w:p>
    <w:p w14:paraId="4ED23815">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名称、规格、净含量、生产日期；</w:t>
      </w:r>
    </w:p>
    <w:p w14:paraId="0D16EF02">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成分或者配料表；</w:t>
      </w:r>
    </w:p>
    <w:p w14:paraId="0C8FFFAB">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生产者的名称、地址、联系方式；</w:t>
      </w:r>
    </w:p>
    <w:p w14:paraId="50B47F50">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保质期；</w:t>
      </w:r>
    </w:p>
    <w:p w14:paraId="0D7AE276">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产品标准代号；</w:t>
      </w:r>
    </w:p>
    <w:p w14:paraId="523DC962">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贮存条件；</w:t>
      </w:r>
    </w:p>
    <w:p w14:paraId="68D6BFC8">
      <w:pPr>
        <w:numPr>
          <w:ilvl w:val="0"/>
          <w:numId w:val="11"/>
        </w:numPr>
        <w:spacing w:line="360" w:lineRule="auto"/>
        <w:rPr>
          <w:rFonts w:ascii="宋体" w:cs="Times New Roman"/>
          <w:color w:val="auto"/>
          <w:kern w:val="44"/>
          <w:sz w:val="24"/>
          <w:szCs w:val="24"/>
        </w:rPr>
      </w:pPr>
      <w:r>
        <w:rPr>
          <w:rFonts w:hint="eastAsia" w:ascii="宋体" w:hAnsi="宋体" w:cs="宋体"/>
          <w:color w:val="auto"/>
          <w:kern w:val="44"/>
          <w:sz w:val="24"/>
          <w:szCs w:val="24"/>
        </w:rPr>
        <w:t>所使用的食品添加剂在国家标准中的通用名称；</w:t>
      </w:r>
    </w:p>
    <w:p w14:paraId="636D4646">
      <w:pPr>
        <w:numPr>
          <w:ilvl w:val="0"/>
          <w:numId w:val="11"/>
        </w:numPr>
        <w:spacing w:line="360" w:lineRule="auto"/>
        <w:rPr>
          <w:rFonts w:ascii="宋体" w:cs="Times New Roman"/>
          <w:color w:val="auto"/>
          <w:sz w:val="24"/>
          <w:szCs w:val="24"/>
        </w:rPr>
      </w:pPr>
      <w:r>
        <w:rPr>
          <w:rFonts w:hint="eastAsia" w:ascii="宋体" w:hAnsi="宋体" w:cs="宋体"/>
          <w:color w:val="auto"/>
          <w:kern w:val="44"/>
          <w:sz w:val="24"/>
          <w:szCs w:val="24"/>
        </w:rPr>
        <w:t>生产许可证编号；</w:t>
      </w:r>
    </w:p>
    <w:p w14:paraId="75C5F9AD">
      <w:pPr>
        <w:numPr>
          <w:ilvl w:val="0"/>
          <w:numId w:val="11"/>
        </w:numPr>
        <w:spacing w:line="360" w:lineRule="auto"/>
        <w:rPr>
          <w:rFonts w:ascii="宋体" w:cs="Times New Roman"/>
          <w:color w:val="auto"/>
          <w:sz w:val="24"/>
          <w:szCs w:val="24"/>
        </w:rPr>
      </w:pPr>
      <w:r>
        <w:rPr>
          <w:rFonts w:hint="eastAsia" w:ascii="宋体" w:hAnsi="宋体" w:cs="宋体"/>
          <w:color w:val="auto"/>
          <w:kern w:val="44"/>
          <w:sz w:val="24"/>
          <w:szCs w:val="24"/>
        </w:rPr>
        <w:t>法律、法规或者食品安全标准规定应当标明的其他事项。进口的预包装食品、食品添加剂应当有中文标签，依法应当有说明书，还应当有中文说明书。</w:t>
      </w:r>
    </w:p>
    <w:p w14:paraId="1BDED6BA">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保证斤、两的准确性；以采购人的验收数量为准，中标供应商每次随货携带一式三联的送货清单，食材经双方验收后须签字确认；采购人持送货单与结算联，中标供应商持存根联，凭结算联作为货款结算的凭证。</w:t>
      </w:r>
    </w:p>
    <w:p w14:paraId="39F13C37">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采购人发现商品出现损坏（包括表面损坏），或出现水渍、串味、受潮等导致货物性质改变的，中标供应商必须无条件退货或更换商品。</w:t>
      </w:r>
    </w:p>
    <w:p w14:paraId="132BC1DE">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中标供应商保证所提供的肉类、粮油及副食品、蔬菜的多样性和季节性，以保证食材的新鲜感。每次送交的所有货品都要注明来源，否则，采购人有权退货，中标供应商必须在</w:t>
      </w:r>
      <w:r>
        <w:rPr>
          <w:rFonts w:ascii="宋体" w:hAnsi="宋体" w:cs="宋体"/>
          <w:color w:val="auto"/>
          <w:sz w:val="24"/>
          <w:szCs w:val="24"/>
          <w:lang w:val="en-GB"/>
        </w:rPr>
        <w:t>1</w:t>
      </w:r>
      <w:r>
        <w:rPr>
          <w:rFonts w:hint="eastAsia" w:ascii="宋体" w:hAnsi="宋体" w:cs="宋体"/>
          <w:color w:val="auto"/>
          <w:sz w:val="24"/>
          <w:szCs w:val="24"/>
          <w:lang w:val="en-GB"/>
        </w:rPr>
        <w:t>小时内予以退换补货。中标供应商在每一次送货时，要将卫生检验报告随同交到采购人指定的负责人手中。</w:t>
      </w:r>
    </w:p>
    <w:p w14:paraId="36944946">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应购买本项目的食品安全责任险，配合采购人及时更新所提供的符合卫监部门的有效证明材料。如有效的营业执照、食品生产许可证或食品经营许可证、产品合格证、全国工业产品生产许可证等。并加盖中标供应商公章，如未能提供相关证明材料，采购人有权拒收货物，损失由中标供应商承担。</w:t>
      </w:r>
    </w:p>
    <w:p w14:paraId="47EC3F4A">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所供商品必须符合国家行业生产及经营标准，货真价实，均能提供相应批次的合格检验证明。投标货物必须各项技术指标完全符合国家有关质量检测、环保标准及产品出厂标准。</w:t>
      </w:r>
    </w:p>
    <w:p w14:paraId="300A2DFB">
      <w:pPr>
        <w:numPr>
          <w:ilvl w:val="0"/>
          <w:numId w:val="10"/>
        </w:numPr>
        <w:adjustRightInd w:val="0"/>
        <w:snapToGrid w:val="0"/>
        <w:spacing w:line="360" w:lineRule="auto"/>
        <w:ind w:left="425" w:hanging="424" w:hangingChars="177"/>
        <w:rPr>
          <w:rFonts w:ascii="宋体" w:cs="Times New Roman"/>
          <w:color w:val="auto"/>
          <w:sz w:val="24"/>
          <w:szCs w:val="24"/>
          <w:lang w:val="en-GB"/>
        </w:rPr>
      </w:pPr>
      <w:r>
        <w:rPr>
          <w:rFonts w:hint="eastAsia" w:ascii="宋体" w:hAnsi="宋体" w:cs="宋体"/>
          <w:color w:val="auto"/>
          <w:sz w:val="24"/>
          <w:szCs w:val="24"/>
          <w:lang w:val="en-GB"/>
        </w:rPr>
        <w:t>中标供应商必须负责饭堂物资的运输、质量检测等工作，所产生的费用由中标供应商负责。</w:t>
      </w:r>
    </w:p>
    <w:p w14:paraId="49CFC29C">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中标供应商供应的饭堂食材具体需求品种和数量以采购人通知的实际需求为准。</w:t>
      </w:r>
    </w:p>
    <w:p w14:paraId="5842A1B4">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采购人可不定期要求中标供应商提供采购人所指定食材的质量或安全检验报告。食材质量检验的费用由中标供应商承担，检验在中标供应商交货的最终目的地进行。（在投标文件中提供承诺函）</w:t>
      </w:r>
    </w:p>
    <w:p w14:paraId="1FECE968">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中标供应商应积极配合采购人解决特殊情况下所需要的接待用餐及临时增加配送量，如果不能全部提供需要的计划材料清单上的货物，由双方协商解决。</w:t>
      </w:r>
    </w:p>
    <w:p w14:paraId="2D29D6EE">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除不可抗力，不得因其他任何理由延迟送货。采购人如遇特殊情况需推迟送货，应提前通知中标供应商。因中标供应商原因延误交货日期的（采购人要求推迟的除外），由双方协商解决，中标供应商承担由此产生的一切损失和费用。</w:t>
      </w:r>
    </w:p>
    <w:p w14:paraId="2B33FEAD">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lang w:val="en-GB"/>
        </w:rPr>
        <w:t>中标供应商不得擅自变更供应货品（含商标、名称、产地、包装、规格和重量等），严格按采购人要求供应，否则，采购人有权拒收。如因市场流通问题确实需要变更的，应事先书面申请，并经采购人同意后方可改变。</w:t>
      </w:r>
    </w:p>
    <w:p w14:paraId="03F1836E">
      <w:pPr>
        <w:numPr>
          <w:ilvl w:val="0"/>
          <w:numId w:val="10"/>
        </w:numPr>
        <w:adjustRightInd w:val="0"/>
        <w:snapToGrid w:val="0"/>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中标供应商应能够配合采购人及时更新所提供的符合卫监部门的有效证明材料。如有效的营业执照、产品合格证、食品生产许可证或食品经营许可证等。</w:t>
      </w:r>
    </w:p>
    <w:p w14:paraId="53F67467">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货物配送卸货要求</w:t>
      </w:r>
    </w:p>
    <w:p w14:paraId="76D7F749">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食品运输必须采用符合卫生标准的外包装和运载工具，并且要保持清洁和定期消毒。运输车厢的内仓，包括地面、墙面和顶，应使用抗腐蚀、防潮，易清洁消毒的材料。车厢内无不良气味、异味。</w:t>
      </w:r>
    </w:p>
    <w:p w14:paraId="58770361">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包装应足以承受这个过程中的运输、转运、装卸、储存等，充分考虑到运输途中的各种情况（如暴露于恶劣气候等）和</w:t>
      </w:r>
      <w:r>
        <w:rPr>
          <w:rFonts w:hint="eastAsia" w:ascii="宋体" w:hAnsi="宋体" w:cs="宋体"/>
          <w:color w:val="auto"/>
          <w:sz w:val="24"/>
          <w:szCs w:val="24"/>
          <w:lang w:eastAsia="zh-CN"/>
        </w:rPr>
        <w:t>云浮</w:t>
      </w:r>
      <w:r>
        <w:rPr>
          <w:rFonts w:hint="eastAsia" w:ascii="宋体" w:hAnsi="宋体" w:cs="宋体"/>
          <w:color w:val="auto"/>
          <w:sz w:val="24"/>
          <w:szCs w:val="24"/>
        </w:rPr>
        <w:t>地区的气候特点，以及露天存放的需要。</w:t>
      </w:r>
    </w:p>
    <w:p w14:paraId="78751E46">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冷藏、冷冻食品必须用专用冷藏、冷冻载具运输，应当有必要的保温设备并在整个运输过程中保持安全的冷藏、冷冻温度。特别是对于长途运输的食品，保证食品在运输全过程处于合适的温度范围。整个运输过程应科学合理，运输车辆应定期清洁，保持性能稳定，符合规定的温度要求，使运输食品处于恒定的环境中。</w:t>
      </w:r>
    </w:p>
    <w:p w14:paraId="0CF35162">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送货车辆实行一小时配送圈运作，目的地在一小时内的用保温车配送，一小时以外的用制冷车配送，保证冷冻肉中心温度控制在</w:t>
      </w:r>
      <w:r>
        <w:rPr>
          <w:rFonts w:ascii="宋体" w:hAnsi="宋体" w:cs="宋体"/>
          <w:color w:val="auto"/>
          <w:sz w:val="24"/>
          <w:szCs w:val="24"/>
        </w:rPr>
        <w:t>-2-7</w:t>
      </w:r>
      <w:r>
        <w:rPr>
          <w:rFonts w:hint="eastAsia" w:ascii="宋体" w:hAnsi="宋体" w:cs="宋体"/>
          <w:color w:val="auto"/>
          <w:sz w:val="24"/>
          <w:szCs w:val="24"/>
        </w:rPr>
        <w:t>℃的范围之内，保证运输过程冷链不中断。商品到达目的地时外包装箱干爽，无软化现象。</w:t>
      </w:r>
    </w:p>
    <w:p w14:paraId="639D2E5F">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送货车辆应保持清洁；食品堆放科学合理，避免造成食品的交叉污染；如对温度有要求的食品应确定食品的温度，记录送货车辆温度，并记录存档。</w:t>
      </w:r>
    </w:p>
    <w:p w14:paraId="11F40934">
      <w:pPr>
        <w:numPr>
          <w:ilvl w:val="0"/>
          <w:numId w:val="12"/>
        </w:numPr>
        <w:spacing w:line="360" w:lineRule="auto"/>
        <w:ind w:left="425" w:hanging="424" w:hangingChars="177"/>
        <w:rPr>
          <w:rFonts w:ascii="宋体" w:cs="Times New Roman"/>
          <w:color w:val="auto"/>
          <w:sz w:val="24"/>
          <w:szCs w:val="24"/>
        </w:rPr>
      </w:pPr>
      <w:r>
        <w:rPr>
          <w:rFonts w:hint="eastAsia" w:ascii="宋体" w:hAnsi="宋体" w:cs="宋体"/>
          <w:color w:val="auto"/>
          <w:sz w:val="24"/>
          <w:szCs w:val="24"/>
        </w:rPr>
        <w:t>在配送卸货环节中应保证冷藏食品脱离冷链时间不得超过</w:t>
      </w:r>
      <w:r>
        <w:rPr>
          <w:rFonts w:ascii="宋体" w:hAnsi="宋体" w:cs="宋体"/>
          <w:color w:val="auto"/>
          <w:sz w:val="24"/>
          <w:szCs w:val="24"/>
        </w:rPr>
        <w:t>20</w:t>
      </w:r>
      <w:r>
        <w:rPr>
          <w:rFonts w:hint="eastAsia" w:ascii="宋体" w:hAnsi="宋体" w:cs="宋体"/>
          <w:color w:val="auto"/>
          <w:sz w:val="24"/>
          <w:szCs w:val="24"/>
        </w:rPr>
        <w:t>分钟，冷冻食品脱离冷链时间不得超过</w:t>
      </w:r>
      <w:r>
        <w:rPr>
          <w:rFonts w:ascii="宋体" w:hAnsi="宋体" w:cs="宋体"/>
          <w:color w:val="auto"/>
          <w:sz w:val="24"/>
          <w:szCs w:val="24"/>
        </w:rPr>
        <w:t>30</w:t>
      </w:r>
      <w:r>
        <w:rPr>
          <w:rFonts w:hint="eastAsia" w:ascii="宋体" w:hAnsi="宋体" w:cs="宋体"/>
          <w:color w:val="auto"/>
          <w:sz w:val="24"/>
          <w:szCs w:val="24"/>
        </w:rPr>
        <w:t>分钟。</w:t>
      </w:r>
    </w:p>
    <w:p w14:paraId="2C9F4582">
      <w:pPr>
        <w:pStyle w:val="5"/>
        <w:numPr>
          <w:ilvl w:val="0"/>
          <w:numId w:val="2"/>
        </w:numPr>
        <w:tabs>
          <w:tab w:val="left" w:pos="540"/>
        </w:tabs>
        <w:adjustRightInd w:val="0"/>
        <w:snapToGrid w:val="0"/>
        <w:spacing w:line="360" w:lineRule="auto"/>
        <w:rPr>
          <w:rFonts w:hAnsi="宋体" w:cs="Times New Roman"/>
          <w:b/>
          <w:bCs/>
          <w:color w:val="auto"/>
          <w:sz w:val="24"/>
          <w:szCs w:val="24"/>
        </w:rPr>
      </w:pPr>
      <w:r>
        <w:rPr>
          <w:rFonts w:hint="eastAsia" w:hAnsi="宋体"/>
          <w:b/>
          <w:bCs/>
          <w:color w:val="auto"/>
          <w:sz w:val="24"/>
          <w:szCs w:val="24"/>
        </w:rPr>
        <w:t>食品质量的基本检查</w:t>
      </w:r>
    </w:p>
    <w:p w14:paraId="345701A5">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食品应清洁，并符合企业相关验收标准；食品应无损伤、腐烂现象，无寄生虫或已受虫害现象；对温度有要求的食品应确定食品的温度与包装上指示温度一致。</w:t>
      </w:r>
    </w:p>
    <w:p w14:paraId="05DD106C">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食品到达目的地时外包装完整。冷冻食品没有曾经解冻痕迹或软化现象，包装呈干爽状态。</w:t>
      </w:r>
    </w:p>
    <w:p w14:paraId="41782582">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对食品检查如下：</w:t>
      </w:r>
    </w:p>
    <w:p w14:paraId="66E4B06B">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中标供应商供应的食品必须符合食品卫生要求及国家有关标准，如无标准，按行业规范。采购生产、经营证明文件齐备，明确食品来源，并具有检验合格证明。严禁采购有害、有毒、腐烂变质、酸败、霉变、生虫、污垢不洁、混有异物或其他感官性状异常的食品。禁止采购超过保质期限的食品。</w:t>
      </w:r>
    </w:p>
    <w:p w14:paraId="5F0AB71C">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食品包装必须符合国家规范。采购的食品不得存放在有害、有毒的容器内。食品包装上必须使用原产地标识，应注明：制造商名称和厂址、食品名称和重（容）量、生产日期和保质期限以及规格和</w:t>
      </w:r>
      <w:r>
        <w:rPr>
          <w:rFonts w:hAnsi="宋体"/>
          <w:color w:val="auto"/>
          <w:sz w:val="24"/>
          <w:szCs w:val="24"/>
        </w:rPr>
        <w:t>SC</w:t>
      </w:r>
      <w:r>
        <w:rPr>
          <w:rFonts w:hint="eastAsia" w:hAnsi="宋体"/>
          <w:color w:val="auto"/>
          <w:sz w:val="24"/>
          <w:szCs w:val="24"/>
        </w:rPr>
        <w:t>认证等。</w:t>
      </w:r>
    </w:p>
    <w:p w14:paraId="4928D460">
      <w:pPr>
        <w:pStyle w:val="5"/>
        <w:numPr>
          <w:ilvl w:val="0"/>
          <w:numId w:val="14"/>
        </w:numPr>
        <w:tabs>
          <w:tab w:val="left" w:pos="420"/>
        </w:tabs>
        <w:adjustRightInd w:val="0"/>
        <w:snapToGrid w:val="0"/>
        <w:spacing w:line="360" w:lineRule="auto"/>
        <w:ind w:left="567" w:hanging="567"/>
        <w:rPr>
          <w:rFonts w:hAnsi="宋体" w:cs="Times New Roman"/>
          <w:color w:val="auto"/>
          <w:sz w:val="24"/>
          <w:szCs w:val="24"/>
        </w:rPr>
      </w:pPr>
      <w:r>
        <w:rPr>
          <w:rFonts w:hint="eastAsia" w:hAnsi="宋体"/>
          <w:color w:val="auto"/>
          <w:sz w:val="24"/>
          <w:szCs w:val="24"/>
        </w:rPr>
        <w:t>对不符合采购要求的食品由验收人员提出清退，退货前应实行留板备案，如双方对质量争议可送国家质监部门检测。对缺斤短两（或含水量超标）的应按实际重量扣减。</w:t>
      </w:r>
    </w:p>
    <w:p w14:paraId="384CC010">
      <w:pPr>
        <w:pStyle w:val="5"/>
        <w:numPr>
          <w:ilvl w:val="0"/>
          <w:numId w:val="13"/>
        </w:numPr>
        <w:tabs>
          <w:tab w:val="left" w:pos="851"/>
        </w:tabs>
        <w:adjustRightInd w:val="0"/>
        <w:snapToGrid w:val="0"/>
        <w:spacing w:line="360" w:lineRule="auto"/>
        <w:ind w:left="425" w:hanging="424" w:hangingChars="177"/>
        <w:rPr>
          <w:rFonts w:hAnsi="宋体" w:cs="Times New Roman"/>
          <w:color w:val="auto"/>
          <w:sz w:val="24"/>
          <w:szCs w:val="24"/>
        </w:rPr>
      </w:pPr>
      <w:r>
        <w:rPr>
          <w:rFonts w:hint="eastAsia" w:hAnsi="宋体"/>
          <w:color w:val="auto"/>
          <w:sz w:val="24"/>
          <w:szCs w:val="24"/>
        </w:rPr>
        <w:t>中标供应商所购买的蔬菜全部由采购人不定时组织人员在使用前进行农药残留检测，如检测不合格则不能使用；同时所有食物必须取样保留</w:t>
      </w:r>
      <w:r>
        <w:rPr>
          <w:rFonts w:hAnsi="宋体"/>
          <w:color w:val="auto"/>
          <w:sz w:val="24"/>
          <w:szCs w:val="24"/>
        </w:rPr>
        <w:t>48</w:t>
      </w:r>
      <w:r>
        <w:rPr>
          <w:rFonts w:hint="eastAsia" w:hAnsi="宋体"/>
          <w:color w:val="auto"/>
          <w:sz w:val="24"/>
          <w:szCs w:val="24"/>
        </w:rPr>
        <w:t>小时，所需检测和取样保留的试纸、药品等由中标供应商提供及承担费用。</w:t>
      </w:r>
    </w:p>
    <w:p w14:paraId="4D87E28A">
      <w:pPr>
        <w:rPr>
          <w:rFonts w:ascii="宋体" w:cs="Times New Roman"/>
          <w:b/>
          <w:bCs/>
          <w:snapToGrid w:val="0"/>
          <w:color w:val="auto"/>
          <w:kern w:val="0"/>
          <w:sz w:val="24"/>
          <w:szCs w:val="24"/>
        </w:rPr>
      </w:pPr>
      <w:r>
        <w:rPr>
          <w:rFonts w:ascii="宋体" w:cs="Times New Roman"/>
          <w:b/>
          <w:bCs/>
          <w:snapToGrid w:val="0"/>
          <w:color w:val="auto"/>
          <w:kern w:val="0"/>
          <w:sz w:val="24"/>
          <w:szCs w:val="24"/>
        </w:rPr>
        <w:br w:type="page"/>
      </w:r>
    </w:p>
    <w:p w14:paraId="08135CA0">
      <w:pPr>
        <w:spacing w:line="360" w:lineRule="auto"/>
        <w:jc w:val="center"/>
        <w:rPr>
          <w:rFonts w:ascii="宋体" w:cs="Times New Roman"/>
          <w:b/>
          <w:bCs/>
          <w:snapToGrid w:val="0"/>
          <w:color w:val="auto"/>
          <w:kern w:val="0"/>
          <w:sz w:val="24"/>
          <w:szCs w:val="24"/>
        </w:rPr>
      </w:pPr>
      <w:r>
        <w:rPr>
          <w:rFonts w:hint="eastAsia" w:ascii="宋体" w:hAnsi="宋体" w:cs="宋体"/>
          <w:b/>
          <w:bCs/>
          <w:snapToGrid w:val="0"/>
          <w:color w:val="auto"/>
          <w:kern w:val="0"/>
          <w:sz w:val="24"/>
          <w:szCs w:val="24"/>
        </w:rPr>
        <w:t>商务要求</w:t>
      </w:r>
    </w:p>
    <w:p w14:paraId="6BEA787F">
      <w:pPr>
        <w:pStyle w:val="5"/>
        <w:tabs>
          <w:tab w:val="left" w:pos="567"/>
        </w:tabs>
        <w:adjustRightInd w:val="0"/>
        <w:snapToGrid w:val="0"/>
        <w:spacing w:line="360" w:lineRule="auto"/>
        <w:ind w:left="-496" w:leftChars="-236"/>
        <w:rPr>
          <w:rFonts w:hAnsi="宋体" w:cs="Times New Roman"/>
          <w:snapToGrid w:val="0"/>
          <w:color w:val="auto"/>
          <w:sz w:val="24"/>
          <w:szCs w:val="24"/>
        </w:rPr>
      </w:pPr>
      <w:r>
        <w:rPr>
          <w:rFonts w:hAnsi="宋体"/>
          <w:b/>
          <w:bCs/>
          <w:snapToGrid w:val="0"/>
          <w:color w:val="auto"/>
          <w:sz w:val="24"/>
          <w:szCs w:val="24"/>
        </w:rPr>
        <w:t>1.</w:t>
      </w:r>
      <w:r>
        <w:rPr>
          <w:rFonts w:hint="eastAsia" w:hAnsi="宋体"/>
          <w:b/>
          <w:bCs/>
          <w:snapToGrid w:val="0"/>
          <w:color w:val="auto"/>
          <w:sz w:val="24"/>
          <w:szCs w:val="24"/>
        </w:rPr>
        <w:t>服务地点：</w:t>
      </w:r>
      <w:r>
        <w:rPr>
          <w:rFonts w:hint="eastAsia" w:hAnsi="宋体"/>
          <w:snapToGrid w:val="0"/>
          <w:color w:val="auto"/>
          <w:sz w:val="24"/>
          <w:szCs w:val="24"/>
        </w:rPr>
        <w:t>采购人（用户）指定地点，郁南县妇幼保健院饭堂。</w:t>
      </w:r>
    </w:p>
    <w:p w14:paraId="71929CCD">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具体地址：</w:t>
      </w:r>
      <w:r>
        <w:rPr>
          <w:rFonts w:hint="eastAsia" w:hAnsi="宋体"/>
          <w:snapToGrid w:val="0"/>
          <w:color w:val="auto"/>
          <w:sz w:val="24"/>
          <w:szCs w:val="24"/>
        </w:rPr>
        <w:t>郁南县妇幼保健院综合楼十楼饭堂</w:t>
      </w:r>
    </w:p>
    <w:p w14:paraId="6616C01A">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2.</w:t>
      </w:r>
      <w:r>
        <w:rPr>
          <w:rFonts w:hint="eastAsia" w:hAnsi="宋体"/>
          <w:b/>
          <w:bCs/>
          <w:color w:val="auto"/>
          <w:sz w:val="24"/>
          <w:szCs w:val="24"/>
        </w:rPr>
        <w:t>服务期限：合同签字盖章之日起生效，服务期限一年</w:t>
      </w:r>
      <w:r>
        <w:rPr>
          <w:rFonts w:hint="eastAsia" w:hAnsi="宋体"/>
          <w:b/>
          <w:bCs/>
          <w:color w:val="auto"/>
          <w:sz w:val="24"/>
          <w:szCs w:val="24"/>
          <w:lang w:eastAsia="zh-CN"/>
        </w:rPr>
        <w:t>或达到本项目采购预算</w:t>
      </w:r>
      <w:r>
        <w:rPr>
          <w:rFonts w:hint="eastAsia" w:hAnsi="宋体"/>
          <w:b/>
          <w:bCs/>
          <w:color w:val="auto"/>
          <w:sz w:val="24"/>
          <w:szCs w:val="24"/>
        </w:rPr>
        <w:t>。</w:t>
      </w:r>
    </w:p>
    <w:p w14:paraId="183C587F">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3.</w:t>
      </w:r>
      <w:r>
        <w:rPr>
          <w:rFonts w:hint="eastAsia" w:hAnsi="宋体"/>
          <w:b/>
          <w:bCs/>
          <w:color w:val="auto"/>
          <w:sz w:val="24"/>
          <w:szCs w:val="24"/>
        </w:rPr>
        <w:t>服务要求：</w:t>
      </w:r>
    </w:p>
    <w:p w14:paraId="73C314A0">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3.1.</w:t>
      </w:r>
      <w:r>
        <w:rPr>
          <w:rFonts w:hint="eastAsia" w:hAnsi="宋体"/>
          <w:color w:val="auto"/>
          <w:sz w:val="24"/>
          <w:szCs w:val="24"/>
        </w:rPr>
        <w:t>投标人必须签署针对本项目的《食品质量安全承诺书》。</w:t>
      </w:r>
      <w:r>
        <w:rPr>
          <w:rFonts w:hAnsi="宋体" w:cs="Times New Roman"/>
          <w:color w:val="auto"/>
          <w:sz w:val="24"/>
          <w:szCs w:val="24"/>
        </w:rPr>
        <w:t xml:space="preserve"> </w:t>
      </w:r>
    </w:p>
    <w:p w14:paraId="7FF5E72E">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3.2.1</w:t>
      </w:r>
      <w:r>
        <w:rPr>
          <w:rFonts w:hint="eastAsia" w:hAnsi="宋体"/>
          <w:color w:val="auto"/>
          <w:sz w:val="24"/>
          <w:szCs w:val="24"/>
        </w:rPr>
        <w:t>所有果蔬类及畜禽类产品都须出自无公害蔬菜农场和种养基地（需提供供应农场和种养基地资质证明材料）。</w:t>
      </w:r>
    </w:p>
    <w:p w14:paraId="05C1BB99">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3.2.</w:t>
      </w:r>
      <w:r>
        <w:rPr>
          <w:rFonts w:hint="eastAsia" w:hAnsi="宋体"/>
          <w:color w:val="auto"/>
          <w:sz w:val="24"/>
          <w:szCs w:val="24"/>
        </w:rPr>
        <w:t>2所有肉类都要进行粗加工，达到半成品或成品状态。例如：五花肉切条或切块；鱼去鳞、去内脏、去鳃、洗净，部分按采购人要求切块或切片；三鸟去毛、去内脏、洗净，部分按采购人要求切块；鱿鱼去眼睛、去牙齿、洗净等。</w:t>
      </w:r>
    </w:p>
    <w:p w14:paraId="32A718DD">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3.2.</w:t>
      </w:r>
      <w:r>
        <w:rPr>
          <w:rFonts w:hint="eastAsia" w:hAnsi="宋体"/>
          <w:color w:val="auto"/>
          <w:sz w:val="24"/>
          <w:szCs w:val="24"/>
        </w:rPr>
        <w:t>3所有鲜活水产品类必须在采购人检验鲜活合格。</w:t>
      </w:r>
    </w:p>
    <w:p w14:paraId="31371A75">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3.3.</w:t>
      </w:r>
      <w:r>
        <w:rPr>
          <w:rFonts w:hint="eastAsia" w:hAnsi="宋体"/>
          <w:color w:val="auto"/>
          <w:sz w:val="24"/>
          <w:szCs w:val="24"/>
        </w:rPr>
        <w:t>中标供应商必须负责所订货物的运输、搬运等工作，所产生的费用由中标供应商负责。且中标供应商应根据采购人实际要求运送货物，无偿将货物送达到各指定地点，货物收货验收后，按要求拆除大包装（留取最小包装）后，无偿将货物按指定位置上架。</w:t>
      </w:r>
    </w:p>
    <w:p w14:paraId="1D43BEC8">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3.4.</w:t>
      </w:r>
      <w:r>
        <w:rPr>
          <w:rFonts w:hint="eastAsia" w:hAnsi="宋体"/>
          <w:color w:val="auto"/>
          <w:sz w:val="24"/>
          <w:szCs w:val="24"/>
        </w:rPr>
        <w:t>每次送货，中标供应商必须安排专职送货员负责货物的运输、过秤，并协助采购人验收货物，货物的品种和重量以采购人验收的结果为准。</w:t>
      </w:r>
    </w:p>
    <w:p w14:paraId="7C892923">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3.5.</w:t>
      </w:r>
      <w:r>
        <w:rPr>
          <w:rFonts w:hint="eastAsia" w:hAnsi="宋体"/>
          <w:color w:val="auto"/>
          <w:sz w:val="24"/>
          <w:szCs w:val="24"/>
        </w:rPr>
        <w:t>在采购人未签收之前，货物的所有权和风险属于中标供应商，货物发生遗失、损坏由中标供应商负责。</w:t>
      </w:r>
    </w:p>
    <w:p w14:paraId="695E5A3A">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3.6.</w:t>
      </w:r>
      <w:r>
        <w:rPr>
          <w:rFonts w:hint="eastAsia" w:hAnsi="宋体"/>
          <w:color w:val="auto"/>
          <w:sz w:val="24"/>
          <w:szCs w:val="24"/>
        </w:rPr>
        <w:t>中标供应商必须严格按照采购人的指令配送商品的数量，不得随意增减数量，否则，采购人有权拒收多配送的商品，有权要求中标供应商补偿少配送商品造成的损失。如因市场流通问题确实需要变更的，应事先书面申请，并经采购人同意后方可变更。</w:t>
      </w:r>
    </w:p>
    <w:p w14:paraId="4B1F8F09">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3.7.</w:t>
      </w:r>
      <w:r>
        <w:rPr>
          <w:rFonts w:hint="eastAsia" w:hAnsi="宋体"/>
          <w:color w:val="auto"/>
          <w:sz w:val="24"/>
          <w:szCs w:val="24"/>
        </w:rPr>
        <w:t>中标供应商所供商品在保质期出现损坏或非因采购人人为而出现质量问题的，中标供应商应承诺提供替换服务，因替换货物产生的费用由中标供应商负责。</w:t>
      </w:r>
    </w:p>
    <w:p w14:paraId="6F0593F6">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3.8.</w:t>
      </w:r>
      <w:r>
        <w:rPr>
          <w:rFonts w:hint="eastAsia" w:hAnsi="宋体"/>
          <w:color w:val="auto"/>
          <w:sz w:val="24"/>
          <w:szCs w:val="24"/>
        </w:rPr>
        <w:t>中标供应商的送货单必须详细注明商品的品牌、型号、单价、数量、送货单不得涂改。标记不清的，采购人将拒绝签收。结算期末，中标供应商还应提供送货清单供采购人结算。</w:t>
      </w:r>
    </w:p>
    <w:p w14:paraId="76597B04">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3.9.</w:t>
      </w:r>
      <w:r>
        <w:rPr>
          <w:rFonts w:hint="eastAsia" w:hAnsi="宋体"/>
          <w:color w:val="auto"/>
          <w:sz w:val="24"/>
          <w:szCs w:val="24"/>
        </w:rPr>
        <w:t>中标供应商的送货专员必须穿着便于辨认的工衣和配戴胸卡，送货专员在院内活动必须严格遵守法院各项规章制度，不得做出有损采购人形象和利益的事情。</w:t>
      </w:r>
    </w:p>
    <w:p w14:paraId="3292BF7D">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3.10.</w:t>
      </w:r>
      <w:r>
        <w:rPr>
          <w:rFonts w:hint="eastAsia" w:hAnsi="宋体"/>
          <w:color w:val="auto"/>
          <w:sz w:val="24"/>
          <w:szCs w:val="24"/>
        </w:rPr>
        <w:t>中标供应商不得泄露采购人的商业秘密。泄密造成采购人损失的，中标供应商将承担由此产生的一切损失和法律责任。</w:t>
      </w:r>
    </w:p>
    <w:p w14:paraId="3704031A">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3.11.</w:t>
      </w:r>
      <w:r>
        <w:rPr>
          <w:rFonts w:hint="eastAsia" w:hAnsi="宋体"/>
          <w:color w:val="auto"/>
          <w:sz w:val="24"/>
          <w:szCs w:val="24"/>
        </w:rPr>
        <w:t>中标供应商应建立配送应急机制，根据采购方的各配送点制定相应的配送方案和应急机制，配备足够的配送专车、冷藏车和配送人员，以满足采购人的日常或应急需求。</w:t>
      </w:r>
    </w:p>
    <w:p w14:paraId="6B64D5B1">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4.5.</w:t>
      </w:r>
      <w:r>
        <w:rPr>
          <w:rFonts w:hint="eastAsia" w:hAnsi="宋体"/>
          <w:color w:val="auto"/>
          <w:sz w:val="24"/>
          <w:szCs w:val="24"/>
          <w:lang w:eastAsia="zh-CN"/>
        </w:rPr>
        <w:t>每周基准价</w:t>
      </w:r>
      <w:r>
        <w:rPr>
          <w:rFonts w:hint="eastAsia" w:hAnsi="宋体"/>
          <w:color w:val="auto"/>
          <w:sz w:val="24"/>
          <w:szCs w:val="24"/>
        </w:rPr>
        <w:t>由采购人代表和中标供应商代表到周边农贸市场参考同类产品的价格，供货基准价格</w:t>
      </w:r>
      <w:r>
        <w:rPr>
          <w:rFonts w:hint="eastAsia" w:hAnsi="宋体"/>
          <w:color w:val="auto"/>
          <w:sz w:val="24"/>
          <w:szCs w:val="24"/>
          <w:lang w:eastAsia="zh-CN"/>
        </w:rPr>
        <w:t>不得高于市场均价的</w:t>
      </w:r>
      <w:r>
        <w:rPr>
          <w:rFonts w:hint="eastAsia" w:hAnsi="宋体"/>
          <w:color w:val="auto"/>
          <w:sz w:val="24"/>
          <w:szCs w:val="24"/>
          <w:lang w:val="en-US" w:eastAsia="zh-CN"/>
        </w:rPr>
        <w:t>5%</w:t>
      </w:r>
      <w:r>
        <w:rPr>
          <w:rFonts w:hint="eastAsia" w:hAnsi="宋体"/>
          <w:color w:val="auto"/>
          <w:sz w:val="24"/>
          <w:szCs w:val="24"/>
        </w:rPr>
        <w:t>（</w:t>
      </w:r>
      <w:r>
        <w:rPr>
          <w:rFonts w:hint="eastAsia" w:hAnsi="宋体"/>
          <w:color w:val="auto"/>
          <w:sz w:val="24"/>
          <w:szCs w:val="24"/>
          <w:lang w:eastAsia="zh-CN"/>
        </w:rPr>
        <w:t>有特殊情况则由</w:t>
      </w:r>
      <w:r>
        <w:rPr>
          <w:rFonts w:hint="eastAsia" w:hAnsi="宋体"/>
          <w:color w:val="auto"/>
          <w:sz w:val="24"/>
          <w:szCs w:val="24"/>
        </w:rPr>
        <w:t>中标供应商与采购人协商决定）。供应商按采购人当月实际采购量制定每月结算清单，结算清单应在下个月</w:t>
      </w:r>
      <w:r>
        <w:rPr>
          <w:rFonts w:hAnsi="宋体"/>
          <w:color w:val="auto"/>
          <w:sz w:val="24"/>
          <w:szCs w:val="24"/>
        </w:rPr>
        <w:t>5</w:t>
      </w:r>
      <w:r>
        <w:rPr>
          <w:rFonts w:hint="eastAsia" w:hAnsi="宋体"/>
          <w:color w:val="auto"/>
          <w:sz w:val="24"/>
          <w:szCs w:val="24"/>
        </w:rPr>
        <w:t>日前交采购人确认。</w:t>
      </w:r>
    </w:p>
    <w:p w14:paraId="7A58B2FF">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4.6.</w:t>
      </w:r>
      <w:r>
        <w:rPr>
          <w:rFonts w:hint="eastAsia" w:hAnsi="宋体"/>
          <w:color w:val="auto"/>
          <w:sz w:val="24"/>
          <w:szCs w:val="24"/>
        </w:rPr>
        <w:t>供货价格为含税费价并包括初加工自然损耗费用、市场调查、货物采购、包装、运输、装卸、搬运、不合格货物的退换、所有工作人员的工勤费用以及合同实施过程中的可预见及不可预见费用，服务期间采购人不再向中标供应商支付任何费用。</w:t>
      </w:r>
    </w:p>
    <w:p w14:paraId="7A96A148">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4.7.</w:t>
      </w:r>
      <w:r>
        <w:rPr>
          <w:rFonts w:hint="eastAsia" w:hAnsi="宋体"/>
          <w:color w:val="auto"/>
          <w:sz w:val="24"/>
          <w:szCs w:val="24"/>
        </w:rPr>
        <w:t>春节、国庆等节假日期间以及灾害性天气持续时间较长的月份，由于供货价格波动太大，其定价原则可适当放宽。</w:t>
      </w:r>
    </w:p>
    <w:p w14:paraId="2A299732">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b/>
          <w:bCs/>
          <w:color w:val="auto"/>
          <w:sz w:val="24"/>
          <w:szCs w:val="24"/>
        </w:rPr>
        <w:t>5.</w:t>
      </w:r>
      <w:r>
        <w:rPr>
          <w:rFonts w:hint="eastAsia" w:hAnsi="宋体"/>
          <w:b/>
          <w:bCs/>
          <w:color w:val="auto"/>
          <w:sz w:val="24"/>
          <w:szCs w:val="24"/>
        </w:rPr>
        <w:t>供货时间要求</w:t>
      </w:r>
    </w:p>
    <w:p w14:paraId="4A6D9B02">
      <w:pPr>
        <w:pStyle w:val="5"/>
        <w:tabs>
          <w:tab w:val="left" w:pos="567"/>
        </w:tabs>
        <w:adjustRightInd w:val="0"/>
        <w:snapToGrid w:val="0"/>
        <w:spacing w:line="360" w:lineRule="auto"/>
        <w:ind w:left="-496" w:leftChars="-236"/>
        <w:rPr>
          <w:rFonts w:hAnsi="宋体" w:cs="Times New Roman"/>
          <w:color w:val="auto"/>
          <w:sz w:val="24"/>
          <w:szCs w:val="24"/>
        </w:rPr>
      </w:pPr>
      <w:r>
        <w:rPr>
          <w:rFonts w:hint="eastAsia" w:hAnsi="宋体"/>
          <w:b/>
          <w:bCs/>
          <w:color w:val="auto"/>
          <w:sz w:val="24"/>
          <w:szCs w:val="24"/>
        </w:rPr>
        <w:t>★</w:t>
      </w:r>
      <w:r>
        <w:rPr>
          <w:rFonts w:hAnsi="宋体"/>
          <w:b/>
          <w:bCs/>
          <w:color w:val="auto"/>
          <w:sz w:val="24"/>
          <w:szCs w:val="24"/>
        </w:rPr>
        <w:t xml:space="preserve">5.1. </w:t>
      </w:r>
      <w:r>
        <w:rPr>
          <w:rFonts w:hint="eastAsia" w:hAnsi="宋体"/>
          <w:color w:val="auto"/>
          <w:sz w:val="24"/>
          <w:szCs w:val="24"/>
        </w:rPr>
        <w:t>中标供应商分别于每个送货日早上</w:t>
      </w:r>
      <w:r>
        <w:rPr>
          <w:rFonts w:hint="eastAsia" w:hAnsi="宋体"/>
          <w:color w:val="auto"/>
          <w:sz w:val="24"/>
          <w:szCs w:val="24"/>
          <w:lang w:val="en-US" w:eastAsia="zh-CN"/>
        </w:rPr>
        <w:t>7</w:t>
      </w:r>
      <w:r>
        <w:rPr>
          <w:rFonts w:hint="eastAsia" w:hAnsi="宋体"/>
          <w:color w:val="auto"/>
          <w:sz w:val="24"/>
          <w:szCs w:val="24"/>
        </w:rPr>
        <w:t>：</w:t>
      </w:r>
      <w:r>
        <w:rPr>
          <w:rFonts w:hint="eastAsia" w:hAnsi="宋体"/>
          <w:color w:val="auto"/>
          <w:sz w:val="24"/>
          <w:szCs w:val="24"/>
          <w:lang w:val="en-US" w:eastAsia="zh-CN"/>
        </w:rPr>
        <w:t>50</w:t>
      </w:r>
      <w:r>
        <w:rPr>
          <w:rFonts w:hint="eastAsia" w:hAnsi="宋体"/>
          <w:color w:val="auto"/>
          <w:sz w:val="24"/>
          <w:szCs w:val="24"/>
        </w:rPr>
        <w:t>至</w:t>
      </w:r>
      <w:r>
        <w:rPr>
          <w:rFonts w:hint="eastAsia" w:hAnsi="宋体"/>
          <w:color w:val="auto"/>
          <w:sz w:val="24"/>
          <w:szCs w:val="24"/>
          <w:lang w:val="en-US" w:eastAsia="zh-CN"/>
        </w:rPr>
        <w:t>8</w:t>
      </w:r>
      <w:r>
        <w:rPr>
          <w:rFonts w:hAnsi="宋体"/>
          <w:color w:val="auto"/>
          <w:sz w:val="24"/>
          <w:szCs w:val="24"/>
        </w:rPr>
        <w:t>:</w:t>
      </w:r>
      <w:r>
        <w:rPr>
          <w:rFonts w:hint="eastAsia" w:hAnsi="宋体"/>
          <w:color w:val="auto"/>
          <w:sz w:val="24"/>
          <w:szCs w:val="24"/>
          <w:lang w:val="en-US" w:eastAsia="zh-CN"/>
        </w:rPr>
        <w:t>20</w:t>
      </w:r>
      <w:r>
        <w:rPr>
          <w:rFonts w:hint="eastAsia" w:hAnsi="宋体"/>
          <w:color w:val="auto"/>
          <w:sz w:val="24"/>
          <w:szCs w:val="24"/>
        </w:rPr>
        <w:t>之间、下午</w:t>
      </w:r>
      <w:r>
        <w:rPr>
          <w:rFonts w:hAnsi="宋体"/>
          <w:color w:val="auto"/>
          <w:sz w:val="24"/>
          <w:szCs w:val="24"/>
        </w:rPr>
        <w:t>1</w:t>
      </w:r>
      <w:r>
        <w:rPr>
          <w:rFonts w:hint="eastAsia" w:hAnsi="宋体"/>
          <w:color w:val="auto"/>
          <w:sz w:val="24"/>
          <w:szCs w:val="24"/>
          <w:lang w:val="en-US" w:eastAsia="zh-CN"/>
        </w:rPr>
        <w:t>5</w:t>
      </w:r>
      <w:r>
        <w:rPr>
          <w:rFonts w:hAnsi="宋体"/>
          <w:color w:val="auto"/>
          <w:sz w:val="24"/>
          <w:szCs w:val="24"/>
        </w:rPr>
        <w:t>:00</w:t>
      </w:r>
      <w:r>
        <w:rPr>
          <w:rFonts w:hint="eastAsia" w:hAnsi="宋体"/>
          <w:color w:val="auto"/>
          <w:sz w:val="24"/>
          <w:szCs w:val="24"/>
        </w:rPr>
        <w:t>之前（其它时间采购人如有特殊供货要求的，应在采购人指定时间内完成供货）把所需食材送达采购人指定地点，并提供</w:t>
      </w:r>
      <w:r>
        <w:rPr>
          <w:rFonts w:hint="eastAsia" w:hAnsi="宋体"/>
          <w:color w:val="auto"/>
          <w:sz w:val="24"/>
          <w:szCs w:val="24"/>
          <w:lang w:eastAsia="zh-CN"/>
        </w:rPr>
        <w:t>送</w:t>
      </w:r>
      <w:r>
        <w:rPr>
          <w:rFonts w:hint="eastAsia" w:hAnsi="宋体"/>
          <w:color w:val="auto"/>
          <w:sz w:val="24"/>
          <w:szCs w:val="24"/>
        </w:rPr>
        <w:t>货清单。如不符合验收要求一律退货，并分别在当天上午的</w:t>
      </w:r>
      <w:r>
        <w:rPr>
          <w:rFonts w:hint="eastAsia" w:hAnsi="宋体"/>
          <w:color w:val="auto"/>
          <w:sz w:val="24"/>
          <w:szCs w:val="24"/>
          <w:lang w:val="en-US" w:eastAsia="zh-CN"/>
        </w:rPr>
        <w:t>9</w:t>
      </w:r>
      <w:r>
        <w:rPr>
          <w:rFonts w:hAnsi="宋体"/>
          <w:color w:val="auto"/>
          <w:sz w:val="24"/>
          <w:szCs w:val="24"/>
        </w:rPr>
        <w:t>:</w:t>
      </w:r>
      <w:r>
        <w:rPr>
          <w:rFonts w:hint="eastAsia" w:hAnsi="宋体"/>
          <w:color w:val="auto"/>
          <w:sz w:val="24"/>
          <w:szCs w:val="24"/>
          <w:lang w:val="en-US" w:eastAsia="zh-CN"/>
        </w:rPr>
        <w:t>1</w:t>
      </w:r>
      <w:r>
        <w:rPr>
          <w:rFonts w:hAnsi="宋体"/>
          <w:color w:val="auto"/>
          <w:sz w:val="24"/>
          <w:szCs w:val="24"/>
        </w:rPr>
        <w:t>0</w:t>
      </w:r>
      <w:r>
        <w:rPr>
          <w:rFonts w:hint="eastAsia" w:hAnsi="宋体"/>
          <w:color w:val="auto"/>
          <w:sz w:val="24"/>
          <w:szCs w:val="24"/>
        </w:rPr>
        <w:t>前和下午的</w:t>
      </w:r>
      <w:r>
        <w:rPr>
          <w:rFonts w:hAnsi="宋体"/>
          <w:color w:val="auto"/>
          <w:sz w:val="24"/>
          <w:szCs w:val="24"/>
        </w:rPr>
        <w:t>1</w:t>
      </w:r>
      <w:r>
        <w:rPr>
          <w:rFonts w:hint="eastAsia" w:hAnsi="宋体"/>
          <w:color w:val="auto"/>
          <w:sz w:val="24"/>
          <w:szCs w:val="24"/>
          <w:lang w:val="en-US" w:eastAsia="zh-CN"/>
        </w:rPr>
        <w:t>5</w:t>
      </w:r>
      <w:r>
        <w:rPr>
          <w:rFonts w:hAnsi="宋体"/>
          <w:color w:val="auto"/>
          <w:sz w:val="24"/>
          <w:szCs w:val="24"/>
        </w:rPr>
        <w:t>:30</w:t>
      </w:r>
      <w:r>
        <w:rPr>
          <w:rFonts w:hint="eastAsia" w:hAnsi="宋体"/>
          <w:color w:val="auto"/>
          <w:sz w:val="24"/>
          <w:szCs w:val="24"/>
        </w:rPr>
        <w:t>前完成补充或更换所需品。</w:t>
      </w:r>
    </w:p>
    <w:p w14:paraId="261957BC">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5.2</w:t>
      </w:r>
      <w:r>
        <w:rPr>
          <w:rFonts w:hint="eastAsia" w:hAnsi="宋体"/>
          <w:color w:val="auto"/>
          <w:sz w:val="24"/>
          <w:szCs w:val="24"/>
        </w:rPr>
        <w:t>中标供应商接到采购人订单后，个别品种因缺货而无法提供的，中标供应商应在接到订单当天及时知会采购人并协商解决好。</w:t>
      </w:r>
    </w:p>
    <w:p w14:paraId="2D43B989">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5.3.</w:t>
      </w:r>
      <w:r>
        <w:rPr>
          <w:rFonts w:hint="eastAsia" w:hAnsi="宋体"/>
          <w:color w:val="auto"/>
          <w:sz w:val="24"/>
          <w:szCs w:val="24"/>
        </w:rPr>
        <w:t>如果采购人临时调整订购的货物种类、规格、数量等，中标供应商须在接到通知后的</w:t>
      </w:r>
      <w:r>
        <w:rPr>
          <w:rFonts w:hAnsi="宋体"/>
          <w:color w:val="auto"/>
          <w:sz w:val="24"/>
          <w:szCs w:val="24"/>
        </w:rPr>
        <w:t>60</w:t>
      </w:r>
      <w:r>
        <w:rPr>
          <w:rFonts w:hint="eastAsia" w:hAnsi="宋体"/>
          <w:color w:val="auto"/>
          <w:sz w:val="24"/>
          <w:szCs w:val="24"/>
        </w:rPr>
        <w:t>分钟内将货物送达并完成供货，待采购人验收、核对后，供货才算完成。对小量常用品的临时要求，能做到</w:t>
      </w:r>
      <w:r>
        <w:rPr>
          <w:rFonts w:hAnsi="宋体"/>
          <w:color w:val="auto"/>
          <w:sz w:val="24"/>
          <w:szCs w:val="24"/>
        </w:rPr>
        <w:t>60</w:t>
      </w:r>
      <w:r>
        <w:rPr>
          <w:rFonts w:hint="eastAsia" w:hAnsi="宋体"/>
          <w:color w:val="auto"/>
          <w:sz w:val="24"/>
          <w:szCs w:val="24"/>
        </w:rPr>
        <w:t>分钟内送到。</w:t>
      </w:r>
    </w:p>
    <w:p w14:paraId="14B7B962">
      <w:pPr>
        <w:pStyle w:val="5"/>
        <w:tabs>
          <w:tab w:val="left" w:pos="567"/>
        </w:tabs>
        <w:adjustRightInd w:val="0"/>
        <w:snapToGrid w:val="0"/>
        <w:spacing w:line="360" w:lineRule="auto"/>
        <w:ind w:left="-496" w:leftChars="-236"/>
        <w:rPr>
          <w:rFonts w:hAnsi="宋体" w:cs="Times New Roman"/>
          <w:color w:val="auto"/>
          <w:sz w:val="24"/>
          <w:szCs w:val="24"/>
        </w:rPr>
      </w:pPr>
      <w:r>
        <w:rPr>
          <w:rFonts w:hAnsi="宋体"/>
          <w:color w:val="auto"/>
          <w:sz w:val="24"/>
          <w:szCs w:val="24"/>
        </w:rPr>
        <w:t>5.4.</w:t>
      </w:r>
      <w:r>
        <w:rPr>
          <w:rFonts w:hint="eastAsia" w:hAnsi="宋体"/>
          <w:color w:val="auto"/>
          <w:sz w:val="24"/>
          <w:szCs w:val="24"/>
        </w:rPr>
        <w:t>如因故退货（中标供应商责任造成的退货），中标供应商需在接通知后</w:t>
      </w:r>
      <w:r>
        <w:rPr>
          <w:rFonts w:hAnsi="宋体"/>
          <w:color w:val="auto"/>
          <w:sz w:val="24"/>
          <w:szCs w:val="24"/>
        </w:rPr>
        <w:t>60</w:t>
      </w:r>
      <w:r>
        <w:rPr>
          <w:rFonts w:hint="eastAsia" w:hAnsi="宋体"/>
          <w:color w:val="auto"/>
          <w:sz w:val="24"/>
          <w:szCs w:val="24"/>
        </w:rPr>
        <w:t>分钟内进行第二次供货，以确保采购人货物供应。对不合格产品，需及时更换，</w:t>
      </w:r>
      <w:r>
        <w:rPr>
          <w:rFonts w:hAnsi="宋体"/>
          <w:color w:val="auto"/>
          <w:sz w:val="24"/>
          <w:szCs w:val="24"/>
        </w:rPr>
        <w:t>60</w:t>
      </w:r>
      <w:r>
        <w:rPr>
          <w:rFonts w:hint="eastAsia" w:hAnsi="宋体"/>
          <w:color w:val="auto"/>
          <w:sz w:val="24"/>
          <w:szCs w:val="24"/>
        </w:rPr>
        <w:t>分钟内送达。</w:t>
      </w:r>
    </w:p>
    <w:p w14:paraId="64F16762">
      <w:pPr>
        <w:pStyle w:val="5"/>
        <w:tabs>
          <w:tab w:val="left" w:pos="567"/>
        </w:tabs>
        <w:adjustRightInd w:val="0"/>
        <w:snapToGrid w:val="0"/>
        <w:spacing w:line="360" w:lineRule="auto"/>
        <w:ind w:left="-496" w:leftChars="-236"/>
        <w:rPr>
          <w:rFonts w:hAnsi="宋体" w:cs="Times New Roman"/>
          <w:b/>
          <w:bCs/>
          <w:color w:val="auto"/>
          <w:sz w:val="24"/>
          <w:szCs w:val="24"/>
        </w:rPr>
      </w:pPr>
      <w:r>
        <w:rPr>
          <w:rFonts w:hAnsi="宋体"/>
          <w:color w:val="auto"/>
          <w:sz w:val="24"/>
          <w:szCs w:val="24"/>
        </w:rPr>
        <w:t>6.</w:t>
      </w:r>
      <w:r>
        <w:rPr>
          <w:rFonts w:hint="eastAsia" w:hAnsi="宋体"/>
          <w:b/>
          <w:bCs/>
          <w:color w:val="auto"/>
          <w:sz w:val="24"/>
          <w:szCs w:val="24"/>
        </w:rPr>
        <w:t>验收要求</w:t>
      </w:r>
    </w:p>
    <w:p w14:paraId="2ECEF157">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6.1.</w:t>
      </w:r>
      <w:r>
        <w:rPr>
          <w:rFonts w:hint="eastAsia" w:hAnsi="宋体"/>
          <w:color w:val="auto"/>
          <w:sz w:val="24"/>
          <w:szCs w:val="24"/>
        </w:rPr>
        <w:t>做好卸货前的检查。采购人和中标供应商双方的验收人员卸货前应对场地和验收设备做好准备，并对商品的外观质量进行初步了解。</w:t>
      </w:r>
    </w:p>
    <w:p w14:paraId="0A3FA091">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6.2.</w:t>
      </w:r>
      <w:r>
        <w:rPr>
          <w:rFonts w:hint="eastAsia" w:hAnsi="宋体"/>
          <w:color w:val="auto"/>
          <w:sz w:val="24"/>
          <w:szCs w:val="24"/>
        </w:rPr>
        <w:t>食品运输必须采用符合卫生标准的外包装和运输工具，保持清洁和定期消毒，车厢内无不良气味、异味，不得将食品与有毒物品一同运输。运输和装卸视频的容器、工具和设备应当安全、无害，保持清洁，防止食品污染。冷藏、冷冻食品必须用专用冷藏、冷冻载具运输，在运输过程中保持安全的冷藏、冷冻温度，冷冻食品没有曾经解冻痕迹或软化现象，包装呈干爽状态。食品应清洁，无损伤、腐烂现象，外包装完整，无寄生虫或已受虫害现象。运送货物入库整个过程要离地离墙搬运，货物不能相互挤压叠放，不可造成食材的污染。</w:t>
      </w:r>
    </w:p>
    <w:p w14:paraId="280B923D">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6.3.</w:t>
      </w:r>
      <w:r>
        <w:rPr>
          <w:rFonts w:hint="eastAsia" w:hAnsi="宋体"/>
          <w:color w:val="auto"/>
          <w:sz w:val="24"/>
          <w:szCs w:val="24"/>
        </w:rPr>
        <w:t>采取现场验收的方式。验收人员认真检查物资的质量，按索票</w:t>
      </w:r>
      <w:r>
        <w:rPr>
          <w:rFonts w:hAnsi="宋体"/>
          <w:color w:val="auto"/>
          <w:sz w:val="24"/>
          <w:szCs w:val="24"/>
        </w:rPr>
        <w:t>—</w:t>
      </w:r>
      <w:r>
        <w:rPr>
          <w:rFonts w:hint="eastAsia" w:hAnsi="宋体"/>
          <w:color w:val="auto"/>
          <w:sz w:val="24"/>
          <w:szCs w:val="24"/>
        </w:rPr>
        <w:t>验证</w:t>
      </w:r>
      <w:r>
        <w:rPr>
          <w:rFonts w:hAnsi="宋体"/>
          <w:color w:val="auto"/>
          <w:sz w:val="24"/>
          <w:szCs w:val="24"/>
        </w:rPr>
        <w:t>—</w:t>
      </w:r>
      <w:r>
        <w:rPr>
          <w:rFonts w:hint="eastAsia" w:hAnsi="宋体"/>
          <w:color w:val="auto"/>
          <w:sz w:val="24"/>
          <w:szCs w:val="24"/>
        </w:rPr>
        <w:t>留样</w:t>
      </w:r>
      <w:r>
        <w:rPr>
          <w:rFonts w:hAnsi="宋体"/>
          <w:color w:val="auto"/>
          <w:sz w:val="24"/>
          <w:szCs w:val="24"/>
        </w:rPr>
        <w:t>—</w:t>
      </w:r>
      <w:r>
        <w:rPr>
          <w:rFonts w:hint="eastAsia" w:hAnsi="宋体"/>
          <w:color w:val="auto"/>
          <w:sz w:val="24"/>
          <w:szCs w:val="24"/>
        </w:rPr>
        <w:t>抽查</w:t>
      </w:r>
      <w:r>
        <w:rPr>
          <w:rFonts w:hAnsi="宋体"/>
          <w:color w:val="auto"/>
          <w:sz w:val="24"/>
          <w:szCs w:val="24"/>
        </w:rPr>
        <w:t>—</w:t>
      </w:r>
      <w:r>
        <w:rPr>
          <w:rFonts w:hint="eastAsia" w:hAnsi="宋体"/>
          <w:color w:val="auto"/>
          <w:sz w:val="24"/>
          <w:szCs w:val="24"/>
        </w:rPr>
        <w:t>过磅</w:t>
      </w:r>
      <w:r>
        <w:rPr>
          <w:rFonts w:hAnsi="宋体"/>
          <w:color w:val="auto"/>
          <w:sz w:val="24"/>
          <w:szCs w:val="24"/>
        </w:rPr>
        <w:t>—</w:t>
      </w:r>
      <w:r>
        <w:rPr>
          <w:rFonts w:hint="eastAsia" w:hAnsi="宋体"/>
          <w:color w:val="auto"/>
          <w:sz w:val="24"/>
          <w:szCs w:val="24"/>
        </w:rPr>
        <w:t>入库的程序完成验收，中标供应商提供原件的留原件，原件只有一份而无法提供给采购人的查验原件后索取复印件留存（各类产品票证要求详见前述验收标准和质量要求）。每批次每种货物均留样，检测按前述产品质量描述对货物质量进行抽查。</w:t>
      </w:r>
    </w:p>
    <w:p w14:paraId="778A4CF7">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6.4.</w:t>
      </w:r>
      <w:r>
        <w:rPr>
          <w:rFonts w:hint="eastAsia" w:hAnsi="宋体"/>
          <w:color w:val="auto"/>
          <w:sz w:val="24"/>
          <w:szCs w:val="24"/>
        </w:rPr>
        <w:t>抽查发现食品安全质量问题的处理：</w:t>
      </w:r>
    </w:p>
    <w:p w14:paraId="439172FE">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）对危及人身安全的食品质量问题采取零容忍措施，一经发现，当日所送同批次产品全部退货，如发现腐败变质肉类等。</w:t>
      </w:r>
    </w:p>
    <w:p w14:paraId="35FE057A">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）若抽查未发现问题，而在加工食用前发现部分产品质量问题，应立即通知中标供应商，将问题产品退货处理。</w:t>
      </w:r>
    </w:p>
    <w:p w14:paraId="61D67296">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6.5.</w:t>
      </w:r>
      <w:r>
        <w:rPr>
          <w:rFonts w:hint="eastAsia" w:hAnsi="宋体"/>
          <w:color w:val="auto"/>
          <w:sz w:val="24"/>
          <w:szCs w:val="24"/>
        </w:rPr>
        <w:t>抽查发现资质证照不全问题的处理：</w:t>
      </w:r>
    </w:p>
    <w:p w14:paraId="26B9769F">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1</w:t>
      </w:r>
      <w:r>
        <w:rPr>
          <w:rFonts w:hint="eastAsia" w:hAnsi="宋体"/>
          <w:color w:val="auto"/>
          <w:sz w:val="24"/>
          <w:szCs w:val="24"/>
        </w:rPr>
        <w:t>）整批产品无政府部门出具的动植物检疫合格证明的全部退货；</w:t>
      </w:r>
    </w:p>
    <w:p w14:paraId="070DC2A3">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2</w:t>
      </w:r>
      <w:r>
        <w:rPr>
          <w:rFonts w:hint="eastAsia" w:hAnsi="宋体"/>
          <w:color w:val="auto"/>
          <w:sz w:val="24"/>
          <w:szCs w:val="24"/>
        </w:rPr>
        <w:t>）抽查发现部分产品无政府部门出具的动植物检疫合格证明，加抽</w:t>
      </w:r>
      <w:r>
        <w:rPr>
          <w:rFonts w:hAnsi="宋体"/>
          <w:color w:val="auto"/>
          <w:sz w:val="24"/>
          <w:szCs w:val="24"/>
        </w:rPr>
        <w:t>15%</w:t>
      </w:r>
      <w:r>
        <w:rPr>
          <w:rFonts w:hint="eastAsia" w:hAnsi="宋体"/>
          <w:color w:val="auto"/>
          <w:sz w:val="24"/>
          <w:szCs w:val="24"/>
        </w:rPr>
        <w:t>，两次抽查数</w:t>
      </w:r>
      <w:r>
        <w:rPr>
          <w:rFonts w:hAnsi="宋体"/>
          <w:color w:val="auto"/>
          <w:sz w:val="24"/>
          <w:szCs w:val="24"/>
        </w:rPr>
        <w:t>50%</w:t>
      </w:r>
      <w:r>
        <w:rPr>
          <w:rFonts w:hint="eastAsia" w:hAnsi="宋体"/>
          <w:color w:val="auto"/>
          <w:sz w:val="24"/>
          <w:szCs w:val="24"/>
        </w:rPr>
        <w:t>以上没有动植物检疫合格证明的，全部退货；</w:t>
      </w:r>
      <w:r>
        <w:rPr>
          <w:rFonts w:hAnsi="宋体"/>
          <w:color w:val="auto"/>
          <w:sz w:val="24"/>
          <w:szCs w:val="24"/>
        </w:rPr>
        <w:t>50%</w:t>
      </w:r>
      <w:r>
        <w:rPr>
          <w:rFonts w:hint="eastAsia" w:hAnsi="宋体"/>
          <w:color w:val="auto"/>
          <w:sz w:val="24"/>
          <w:szCs w:val="24"/>
        </w:rPr>
        <w:t>以下没有动植物检疫合格证明的，将无动植物检疫合格证明的货物退货；</w:t>
      </w:r>
    </w:p>
    <w:p w14:paraId="5B2A080E">
      <w:pPr>
        <w:pStyle w:val="5"/>
        <w:tabs>
          <w:tab w:val="left" w:pos="709"/>
        </w:tabs>
        <w:adjustRightInd w:val="0"/>
        <w:snapToGrid w:val="0"/>
        <w:spacing w:line="360" w:lineRule="auto"/>
        <w:ind w:left="-496" w:leftChars="-236"/>
        <w:rPr>
          <w:rFonts w:hAnsi="宋体" w:cs="Times New Roman"/>
          <w:color w:val="auto"/>
          <w:sz w:val="24"/>
          <w:szCs w:val="24"/>
        </w:rPr>
      </w:pPr>
      <w:r>
        <w:rPr>
          <w:rFonts w:hint="eastAsia" w:hAnsi="宋体"/>
          <w:color w:val="auto"/>
          <w:sz w:val="24"/>
          <w:szCs w:val="24"/>
        </w:rPr>
        <w:t>（</w:t>
      </w:r>
      <w:r>
        <w:rPr>
          <w:rFonts w:hAnsi="宋体"/>
          <w:color w:val="auto"/>
          <w:sz w:val="24"/>
          <w:szCs w:val="24"/>
        </w:rPr>
        <w:t>3</w:t>
      </w:r>
      <w:r>
        <w:rPr>
          <w:rFonts w:hint="eastAsia" w:hAnsi="宋体"/>
          <w:color w:val="auto"/>
          <w:sz w:val="24"/>
          <w:szCs w:val="24"/>
        </w:rPr>
        <w:t>）抽查发现部分产品无政府部门出具的产品质量检验报告的，加抽</w:t>
      </w:r>
      <w:r>
        <w:rPr>
          <w:rFonts w:hAnsi="宋体"/>
          <w:color w:val="auto"/>
          <w:sz w:val="24"/>
          <w:szCs w:val="24"/>
        </w:rPr>
        <w:t>15%</w:t>
      </w:r>
      <w:r>
        <w:rPr>
          <w:rFonts w:hint="eastAsia" w:hAnsi="宋体"/>
          <w:color w:val="auto"/>
          <w:sz w:val="24"/>
          <w:szCs w:val="24"/>
        </w:rPr>
        <w:t>，两次抽查数</w:t>
      </w:r>
      <w:r>
        <w:rPr>
          <w:rFonts w:hAnsi="宋体"/>
          <w:color w:val="auto"/>
          <w:sz w:val="24"/>
          <w:szCs w:val="24"/>
        </w:rPr>
        <w:t>50%</w:t>
      </w:r>
      <w:r>
        <w:rPr>
          <w:rFonts w:hint="eastAsia" w:hAnsi="宋体"/>
          <w:color w:val="auto"/>
          <w:sz w:val="24"/>
          <w:szCs w:val="24"/>
        </w:rPr>
        <w:t>以上没有产品质量检验报告的，全部退货；</w:t>
      </w:r>
      <w:r>
        <w:rPr>
          <w:rFonts w:hAnsi="宋体"/>
          <w:color w:val="auto"/>
          <w:sz w:val="24"/>
          <w:szCs w:val="24"/>
        </w:rPr>
        <w:t>50%</w:t>
      </w:r>
      <w:r>
        <w:rPr>
          <w:rFonts w:hint="eastAsia" w:hAnsi="宋体"/>
          <w:color w:val="auto"/>
          <w:sz w:val="24"/>
          <w:szCs w:val="24"/>
        </w:rPr>
        <w:t>以下没有产品质量检验报告的，将无产品质量检验报告的货物退货。</w:t>
      </w:r>
    </w:p>
    <w:p w14:paraId="7527B028">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6.6.</w:t>
      </w:r>
      <w:r>
        <w:rPr>
          <w:rFonts w:hint="eastAsia" w:hAnsi="宋体"/>
          <w:color w:val="auto"/>
          <w:sz w:val="24"/>
          <w:szCs w:val="24"/>
        </w:rPr>
        <w:t>货物的质量问题争议及解决办法：因货物的质量问题发生争议，由</w:t>
      </w:r>
      <w:r>
        <w:rPr>
          <w:rFonts w:hint="eastAsia" w:hAnsi="宋体"/>
          <w:color w:val="auto"/>
          <w:sz w:val="24"/>
          <w:szCs w:val="24"/>
          <w:lang w:eastAsia="zh-CN"/>
        </w:rPr>
        <w:t>云浮</w:t>
      </w:r>
      <w:r>
        <w:rPr>
          <w:rFonts w:hint="eastAsia" w:hAnsi="宋体"/>
          <w:color w:val="auto"/>
          <w:sz w:val="24"/>
          <w:szCs w:val="24"/>
        </w:rPr>
        <w:t>市</w:t>
      </w:r>
      <w:r>
        <w:rPr>
          <w:rFonts w:hint="eastAsia" w:hAnsi="宋体"/>
          <w:color w:val="auto"/>
          <w:sz w:val="24"/>
          <w:szCs w:val="24"/>
          <w:lang w:eastAsia="zh-CN"/>
        </w:rPr>
        <w:t>郁南县</w:t>
      </w:r>
      <w:r>
        <w:rPr>
          <w:rFonts w:hint="eastAsia" w:hAnsi="宋体"/>
          <w:color w:val="auto"/>
          <w:sz w:val="24"/>
          <w:szCs w:val="24"/>
        </w:rPr>
        <w:t>质量技术监督局或国家法定的质量鉴定单位进行质量鉴定。货物符合质量标准的，鉴定费由采购人承担；货物不符合质量标准的，鉴定费由中标供应商承担，并且采购人有权追究中标供应商的相关责任。</w:t>
      </w:r>
    </w:p>
    <w:p w14:paraId="239BA73B">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6.7.</w:t>
      </w:r>
      <w:r>
        <w:rPr>
          <w:rFonts w:hint="eastAsia" w:hAnsi="宋体"/>
          <w:color w:val="auto"/>
          <w:sz w:val="24"/>
          <w:szCs w:val="24"/>
        </w:rPr>
        <w:t>退（补）货流程：对不符合采购要求的食品由验收人员提出清退，如双方对质量或重量有争议的可送具有检验资质的部门检测，同时留样备检，对数量不足或部分退货的，中标供应商须在</w:t>
      </w:r>
      <w:r>
        <w:rPr>
          <w:rFonts w:hAnsi="宋体"/>
          <w:color w:val="auto"/>
          <w:sz w:val="24"/>
          <w:szCs w:val="24"/>
        </w:rPr>
        <w:t>1</w:t>
      </w:r>
      <w:r>
        <w:rPr>
          <w:rFonts w:hint="eastAsia" w:hAnsi="宋体"/>
          <w:color w:val="auto"/>
          <w:sz w:val="24"/>
          <w:szCs w:val="24"/>
        </w:rPr>
        <w:t>小时内补送。</w:t>
      </w:r>
    </w:p>
    <w:p w14:paraId="0F31BC5A">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6.8.</w:t>
      </w:r>
      <w:r>
        <w:rPr>
          <w:rFonts w:hint="eastAsia" w:hAnsi="宋体"/>
          <w:color w:val="auto"/>
          <w:sz w:val="24"/>
          <w:szCs w:val="24"/>
        </w:rPr>
        <w:t>验收记录：对每次验收的物资均记录物资名称、数量、验收情况等事项，并由送货人、采购人签名确认。</w:t>
      </w:r>
    </w:p>
    <w:p w14:paraId="7613C5CB">
      <w:pPr>
        <w:pStyle w:val="5"/>
        <w:tabs>
          <w:tab w:val="left" w:pos="709"/>
        </w:tabs>
        <w:adjustRightInd w:val="0"/>
        <w:snapToGrid w:val="0"/>
        <w:spacing w:line="360" w:lineRule="auto"/>
        <w:ind w:left="-496" w:leftChars="-236"/>
        <w:rPr>
          <w:rFonts w:hAnsi="宋体" w:cs="Times New Roman"/>
          <w:color w:val="auto"/>
          <w:sz w:val="24"/>
          <w:szCs w:val="24"/>
        </w:rPr>
      </w:pPr>
      <w:r>
        <w:rPr>
          <w:rFonts w:hAnsi="宋体"/>
          <w:color w:val="auto"/>
          <w:sz w:val="24"/>
          <w:szCs w:val="24"/>
        </w:rPr>
        <w:t>6.9.</w:t>
      </w:r>
      <w:r>
        <w:rPr>
          <w:rFonts w:hint="eastAsia" w:hAnsi="宋体"/>
          <w:color w:val="auto"/>
          <w:sz w:val="24"/>
          <w:szCs w:val="24"/>
        </w:rPr>
        <w:t>中标供应商必须接受采购人委派人员、纪检部门对货物质量的监督。对食用时反映的质量问题，将进行跟踪调查，中标供应商必须全力配合，如质量问题认定为中标供应商责任，中标供应商应无条件接受相应的处罚。</w:t>
      </w:r>
    </w:p>
    <w:p w14:paraId="22195A44">
      <w:pPr>
        <w:pStyle w:val="5"/>
        <w:adjustRightInd w:val="0"/>
        <w:snapToGrid w:val="0"/>
        <w:spacing w:line="360" w:lineRule="auto"/>
        <w:ind w:left="-496" w:leftChars="-236"/>
        <w:rPr>
          <w:rFonts w:hAnsi="宋体" w:cs="Times New Roman"/>
          <w:b/>
          <w:bCs/>
          <w:color w:val="auto"/>
          <w:sz w:val="24"/>
          <w:szCs w:val="24"/>
        </w:rPr>
      </w:pPr>
      <w:r>
        <w:rPr>
          <w:rFonts w:hint="eastAsia" w:hAnsi="宋体"/>
          <w:color w:val="auto"/>
          <w:sz w:val="24"/>
          <w:szCs w:val="24"/>
        </w:rPr>
        <w:t>7</w:t>
      </w:r>
      <w:r>
        <w:rPr>
          <w:rFonts w:hAnsi="宋体"/>
          <w:color w:val="auto"/>
          <w:sz w:val="24"/>
          <w:szCs w:val="24"/>
        </w:rPr>
        <w:t>.</w:t>
      </w:r>
      <w:r>
        <w:rPr>
          <w:rFonts w:hint="eastAsia" w:hAnsi="宋体"/>
          <w:b/>
          <w:bCs/>
          <w:color w:val="auto"/>
          <w:sz w:val="24"/>
          <w:szCs w:val="24"/>
        </w:rPr>
        <w:t>违约责任</w:t>
      </w:r>
    </w:p>
    <w:p w14:paraId="75D879BC">
      <w:pPr>
        <w:tabs>
          <w:tab w:val="left" w:pos="900"/>
        </w:tabs>
        <w:autoSpaceDE w:val="0"/>
        <w:autoSpaceDN w:val="0"/>
        <w:adjustRightInd w:val="0"/>
        <w:snapToGrid w:val="0"/>
        <w:spacing w:line="360" w:lineRule="auto"/>
        <w:ind w:left="-496" w:leftChars="-236"/>
        <w:rPr>
          <w:rFonts w:hint="eastAsia" w:ascii="宋体" w:hAnsi="宋体" w:cs="宋体"/>
          <w:color w:val="auto"/>
          <w:sz w:val="24"/>
          <w:szCs w:val="24"/>
        </w:rPr>
      </w:pPr>
      <w:r>
        <w:rPr>
          <w:rFonts w:hint="eastAsia" w:ascii="宋体" w:hAnsi="宋体" w:cs="宋体"/>
          <w:color w:val="auto"/>
          <w:sz w:val="24"/>
          <w:szCs w:val="24"/>
        </w:rPr>
        <w:t>7</w:t>
      </w:r>
      <w:r>
        <w:rPr>
          <w:rFonts w:ascii="宋体" w:hAnsi="宋体" w:cs="宋体"/>
          <w:color w:val="auto"/>
          <w:sz w:val="24"/>
          <w:szCs w:val="24"/>
        </w:rPr>
        <w:t>.1.</w:t>
      </w:r>
      <w:r>
        <w:rPr>
          <w:rFonts w:hint="eastAsia" w:ascii="宋体" w:hAnsi="宋体" w:cs="宋体"/>
          <w:color w:val="auto"/>
          <w:sz w:val="24"/>
          <w:szCs w:val="24"/>
        </w:rPr>
        <w:t>中标供应商违反合同条款的，应承担违约责任，采购人有权视违约情节的严重以赔偿</w:t>
      </w:r>
      <w:r>
        <w:rPr>
          <w:rFonts w:hint="eastAsia" w:ascii="宋体" w:hAnsi="宋体" w:cs="宋体"/>
          <w:color w:val="auto"/>
          <w:sz w:val="24"/>
          <w:szCs w:val="24"/>
          <w:lang w:eastAsia="zh-CN"/>
        </w:rPr>
        <w:t>办法补偿</w:t>
      </w:r>
      <w:r>
        <w:rPr>
          <w:rFonts w:hint="eastAsia" w:ascii="宋体" w:hAnsi="宋体" w:cs="宋体"/>
          <w:color w:val="auto"/>
          <w:sz w:val="24"/>
          <w:szCs w:val="24"/>
        </w:rPr>
        <w:t>采购人的损失，中标供应商应继续履行合同，直到完善为止；</w:t>
      </w:r>
    </w:p>
    <w:p w14:paraId="2EB08F2E">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.2.</w:t>
      </w:r>
      <w:r>
        <w:rPr>
          <w:rFonts w:hint="eastAsia" w:ascii="宋体" w:hAnsi="宋体" w:cs="宋体"/>
          <w:color w:val="auto"/>
          <w:sz w:val="24"/>
          <w:szCs w:val="24"/>
        </w:rPr>
        <w:t>采购人未按要求履行合同义务时，或无故拖延验收、付款时，采购人须向中标供应商支付滞纳金，标准为每日按延期支付总额的</w:t>
      </w:r>
      <w:r>
        <w:rPr>
          <w:rFonts w:ascii="宋体" w:hAnsi="宋体" w:cs="宋体"/>
          <w:color w:val="auto"/>
          <w:sz w:val="24"/>
          <w:szCs w:val="24"/>
        </w:rPr>
        <w:t>2</w:t>
      </w:r>
      <w:r>
        <w:rPr>
          <w:rFonts w:hint="eastAsia" w:ascii="宋体" w:hAnsi="宋体" w:cs="宋体"/>
          <w:color w:val="auto"/>
          <w:sz w:val="24"/>
          <w:szCs w:val="24"/>
        </w:rPr>
        <w:t>‰计算。</w:t>
      </w:r>
    </w:p>
    <w:p w14:paraId="64B434FD">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.3.</w:t>
      </w:r>
      <w:r>
        <w:rPr>
          <w:rFonts w:hint="eastAsia" w:ascii="宋体" w:hAnsi="宋体" w:cs="宋体"/>
          <w:color w:val="auto"/>
          <w:sz w:val="24"/>
          <w:szCs w:val="24"/>
        </w:rPr>
        <w:t>中标供应商应当根据采购人实际情况，按与采购人的约定，在规定的时间内将规定的货物数量送到指定地点。除客观不可抗力外，中标供应商不得推迟送货。如确需延迟送货的，中标供应商应在得知情况的同时告知采购人并征得采购人同意，经发现中标供应商有私自更改订单中货品时以违约论处，由此产生的一切损失和费用由中标供应商承担。若第</w:t>
      </w:r>
      <w:r>
        <w:rPr>
          <w:rFonts w:ascii="宋体" w:hAnsi="宋体" w:cs="宋体"/>
          <w:color w:val="auto"/>
          <w:sz w:val="24"/>
          <w:szCs w:val="24"/>
        </w:rPr>
        <w:t>1</w:t>
      </w:r>
      <w:r>
        <w:rPr>
          <w:rFonts w:hint="eastAsia" w:ascii="宋体" w:hAnsi="宋体" w:cs="宋体"/>
          <w:color w:val="auto"/>
          <w:sz w:val="24"/>
          <w:szCs w:val="24"/>
        </w:rPr>
        <w:t>次此出现上述情况的，采购人对中标供应商作书面警告处理，中标供应商提出书面整改意见书；若第</w:t>
      </w:r>
      <w:r>
        <w:rPr>
          <w:rFonts w:ascii="宋体" w:hAnsi="宋体" w:cs="宋体"/>
          <w:color w:val="auto"/>
          <w:sz w:val="24"/>
          <w:szCs w:val="24"/>
        </w:rPr>
        <w:t>2</w:t>
      </w:r>
      <w:r>
        <w:rPr>
          <w:rFonts w:hint="eastAsia" w:ascii="宋体" w:hAnsi="宋体" w:cs="宋体"/>
          <w:color w:val="auto"/>
          <w:sz w:val="24"/>
          <w:szCs w:val="24"/>
        </w:rPr>
        <w:t>次出现上述情况的，采购人对中标供应商作书面罚款通知书，并处以￥</w:t>
      </w:r>
      <w:r>
        <w:rPr>
          <w:rFonts w:ascii="宋体" w:hAnsi="宋体" w:cs="宋体"/>
          <w:color w:val="auto"/>
          <w:sz w:val="24"/>
          <w:szCs w:val="24"/>
        </w:rPr>
        <w:t>5000.00</w:t>
      </w:r>
      <w:r>
        <w:rPr>
          <w:rFonts w:hint="eastAsia" w:ascii="宋体" w:hAnsi="宋体" w:cs="宋体"/>
          <w:color w:val="auto"/>
          <w:sz w:val="24"/>
          <w:szCs w:val="24"/>
        </w:rPr>
        <w:t>元罚款；若第</w:t>
      </w:r>
      <w:r>
        <w:rPr>
          <w:rFonts w:ascii="宋体" w:hAnsi="宋体" w:cs="宋体"/>
          <w:color w:val="auto"/>
          <w:sz w:val="24"/>
          <w:szCs w:val="24"/>
        </w:rPr>
        <w:t>3</w:t>
      </w:r>
      <w:r>
        <w:rPr>
          <w:rFonts w:hint="eastAsia" w:ascii="宋体" w:hAnsi="宋体" w:cs="宋体"/>
          <w:color w:val="auto"/>
          <w:sz w:val="24"/>
          <w:szCs w:val="24"/>
        </w:rPr>
        <w:t>次出现上述情况的，采购人可终止合同，取消其供应资格。</w:t>
      </w:r>
    </w:p>
    <w:p w14:paraId="38203DEB">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.4.</w:t>
      </w:r>
      <w:r>
        <w:rPr>
          <w:rFonts w:hint="eastAsia" w:ascii="宋体" w:hAnsi="宋体" w:cs="宋体"/>
          <w:color w:val="auto"/>
          <w:sz w:val="24"/>
          <w:szCs w:val="24"/>
        </w:rPr>
        <w:t>除客观不可抗力外，中标供应商不得更改送货内容。如确需变更供货内容的，中标供应商应在得知情况的同时告知采购人并征得采购人同意，经发现中标供应商有私自更改菜单中货品时以违约处理，由此产生的一切损失和费用由中标供应商承担。出现</w:t>
      </w:r>
      <w:r>
        <w:rPr>
          <w:rFonts w:ascii="宋体" w:hAnsi="宋体" w:cs="宋体"/>
          <w:color w:val="auto"/>
          <w:sz w:val="24"/>
          <w:szCs w:val="24"/>
        </w:rPr>
        <w:t>3</w:t>
      </w:r>
      <w:r>
        <w:rPr>
          <w:rFonts w:hint="eastAsia" w:ascii="宋体" w:hAnsi="宋体" w:cs="宋体"/>
          <w:color w:val="auto"/>
          <w:sz w:val="24"/>
          <w:szCs w:val="24"/>
        </w:rPr>
        <w:t>次上述情况处以</w:t>
      </w:r>
      <w:r>
        <w:rPr>
          <w:rFonts w:ascii="宋体" w:hAnsi="宋体" w:cs="宋体"/>
          <w:color w:val="auto"/>
          <w:sz w:val="24"/>
          <w:szCs w:val="24"/>
        </w:rPr>
        <w:t>1000</w:t>
      </w:r>
      <w:r>
        <w:rPr>
          <w:rFonts w:hint="eastAsia" w:ascii="宋体" w:hAnsi="宋体" w:cs="宋体"/>
          <w:color w:val="auto"/>
          <w:sz w:val="24"/>
          <w:szCs w:val="24"/>
        </w:rPr>
        <w:t>元罚款。</w:t>
      </w:r>
    </w:p>
    <w:p w14:paraId="18FACBA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.5.</w:t>
      </w:r>
      <w:r>
        <w:rPr>
          <w:rFonts w:hint="eastAsia" w:ascii="宋体" w:hAnsi="宋体" w:cs="宋体"/>
          <w:color w:val="auto"/>
          <w:sz w:val="24"/>
          <w:szCs w:val="24"/>
        </w:rPr>
        <w:t>若中标供应商不能按时、保质、保量供货，导致采购人自行采购的，中标供应商需承担采购人由此造成的经济损失并无条件接受违约处罚（应按采购人自行采购金额的</w:t>
      </w:r>
      <w:r>
        <w:rPr>
          <w:rFonts w:ascii="宋体" w:hAnsi="宋体" w:cs="宋体"/>
          <w:color w:val="auto"/>
          <w:sz w:val="24"/>
          <w:szCs w:val="24"/>
        </w:rPr>
        <w:t>2</w:t>
      </w:r>
      <w:r>
        <w:rPr>
          <w:rFonts w:hint="eastAsia" w:ascii="宋体" w:hAnsi="宋体" w:cs="宋体"/>
          <w:color w:val="auto"/>
          <w:sz w:val="24"/>
          <w:szCs w:val="24"/>
        </w:rPr>
        <w:t>倍处罚）。</w:t>
      </w:r>
    </w:p>
    <w:p w14:paraId="0A7BCE8B">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w:t>
      </w:r>
      <w:r>
        <w:rPr>
          <w:rFonts w:hint="eastAsia" w:ascii="宋体" w:hAnsi="宋体" w:cs="宋体"/>
          <w:color w:val="auto"/>
          <w:sz w:val="24"/>
          <w:szCs w:val="24"/>
        </w:rPr>
        <w:t>中标供应商提供假冒伪劣、过期、变质的、有毒食品的，一经发现，采购人有权要求无条件退货或换货并不予支付任何费用，产生的一切后果均由中标供应商负全责，且中标供应商还将受到如下处罚：</w:t>
      </w:r>
    </w:p>
    <w:p w14:paraId="182E1F3A">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.6.1.</w:t>
      </w:r>
      <w:r>
        <w:rPr>
          <w:rFonts w:hint="eastAsia" w:ascii="宋体" w:hAnsi="宋体" w:cs="宋体"/>
          <w:color w:val="auto"/>
          <w:sz w:val="24"/>
          <w:szCs w:val="24"/>
        </w:rPr>
        <w:t>中标供应商提供假冒伪劣、过期、变质食品的，要求无条件退货或换货外，被处以当次供应食品货款</w:t>
      </w:r>
      <w:r>
        <w:rPr>
          <w:rFonts w:ascii="宋体" w:hAnsi="宋体" w:cs="宋体"/>
          <w:color w:val="auto"/>
          <w:sz w:val="24"/>
          <w:szCs w:val="24"/>
        </w:rPr>
        <w:t>2</w:t>
      </w:r>
      <w:r>
        <w:rPr>
          <w:rFonts w:hint="eastAsia" w:ascii="宋体" w:hAnsi="宋体" w:cs="宋体"/>
          <w:color w:val="auto"/>
          <w:sz w:val="24"/>
          <w:szCs w:val="24"/>
        </w:rPr>
        <w:t>倍的罚款。</w:t>
      </w:r>
    </w:p>
    <w:p w14:paraId="35970342">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.6.2.</w:t>
      </w:r>
      <w:r>
        <w:rPr>
          <w:rFonts w:hint="eastAsia" w:ascii="宋体" w:hAnsi="宋体" w:cs="宋体"/>
          <w:color w:val="auto"/>
          <w:sz w:val="24"/>
          <w:szCs w:val="24"/>
        </w:rPr>
        <w:t>由于中标供应商所供食材的质量问题（包括有毒食品的）导致采购人饭堂就餐人员发生食物中毒事件时（以有关部门签定为准），中标供应商需负担全数之医药费，并处罚金伍万元，且采购人有权取消中标供应商供货资格，无条件终止合同，追究相应的经济损失</w:t>
      </w:r>
      <w:r>
        <w:rPr>
          <w:rFonts w:hint="eastAsia" w:ascii="宋体" w:hAnsi="宋体" w:cs="宋体"/>
          <w:color w:val="auto"/>
          <w:sz w:val="24"/>
          <w:szCs w:val="24"/>
          <w:lang w:eastAsia="zh-CN"/>
        </w:rPr>
        <w:t>。</w:t>
      </w:r>
      <w:r>
        <w:rPr>
          <w:rFonts w:hint="eastAsia" w:ascii="宋体" w:hAnsi="宋体" w:cs="宋体"/>
          <w:color w:val="auto"/>
          <w:sz w:val="24"/>
          <w:szCs w:val="24"/>
        </w:rPr>
        <w:t>中标供应商同时承担相应的民事及刑事法律责任及放弃先诉抗辩权。</w:t>
      </w:r>
    </w:p>
    <w:p w14:paraId="364ACE2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.7.</w:t>
      </w:r>
      <w:r>
        <w:rPr>
          <w:rFonts w:hint="eastAsia" w:ascii="宋体" w:hAnsi="宋体" w:cs="宋体"/>
          <w:color w:val="auto"/>
          <w:sz w:val="24"/>
          <w:szCs w:val="24"/>
        </w:rPr>
        <w:t>采购人按合同对商品进行认真验收，对不符合规格要求的商品或发现新购货物不能正常使用的，中标供应商应无条件退换。中标供应商未能履行招标文件和合同所定事项</w:t>
      </w:r>
      <w:r>
        <w:rPr>
          <w:rFonts w:ascii="宋体" w:cs="宋体"/>
          <w:color w:val="auto"/>
          <w:sz w:val="24"/>
          <w:szCs w:val="24"/>
        </w:rPr>
        <w:t>,</w:t>
      </w:r>
      <w:r>
        <w:rPr>
          <w:rFonts w:hint="eastAsia" w:ascii="宋体" w:hAnsi="宋体" w:cs="宋体"/>
          <w:color w:val="auto"/>
          <w:sz w:val="24"/>
          <w:szCs w:val="24"/>
        </w:rPr>
        <w:t>或供应不合格的、假冒伪劣、以次充好的商品，采购人退货后将记录在案，并对中标供应商予以处罚，除要承担因此产生的一切损失和费用外，情节严重的采购人可终止合同。</w:t>
      </w:r>
    </w:p>
    <w:p w14:paraId="30099015">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.8.</w:t>
      </w:r>
      <w:r>
        <w:rPr>
          <w:rFonts w:hint="eastAsia" w:ascii="宋体" w:hAnsi="宋体" w:cs="宋体"/>
          <w:color w:val="auto"/>
          <w:sz w:val="24"/>
          <w:szCs w:val="24"/>
          <w:lang w:val="en-GB"/>
        </w:rPr>
        <w:t>中标供应商在合同履行期间内保证对采购人的</w:t>
      </w:r>
      <w:r>
        <w:rPr>
          <w:rFonts w:hint="eastAsia" w:ascii="宋体" w:hAnsi="宋体" w:cs="宋体"/>
          <w:color w:val="auto"/>
          <w:sz w:val="24"/>
          <w:szCs w:val="24"/>
        </w:rPr>
        <w:t>食堂物资配送</w:t>
      </w:r>
      <w:r>
        <w:rPr>
          <w:rFonts w:hint="eastAsia" w:ascii="宋体" w:hAnsi="宋体" w:cs="宋体"/>
          <w:color w:val="auto"/>
          <w:sz w:val="24"/>
          <w:szCs w:val="24"/>
          <w:lang w:val="en-GB"/>
        </w:rPr>
        <w:t>，中标后不得拒绝采购人分配的任务。中标供应商在服务期内没能达到投标文件承诺的服务要求的，或中标供应商未按要求履行合同义务时，或中标供应商的资格在服务期内发生变化不再符合本项目要求的，采购人均有权单方终止合同</w:t>
      </w:r>
      <w:r>
        <w:rPr>
          <w:rFonts w:ascii="宋体" w:cs="宋体"/>
          <w:color w:val="auto"/>
          <w:sz w:val="24"/>
          <w:szCs w:val="24"/>
          <w:lang w:val="en-GB"/>
        </w:rPr>
        <w:t>,</w:t>
      </w:r>
      <w:r>
        <w:rPr>
          <w:rFonts w:hint="eastAsia" w:ascii="宋体" w:hAnsi="宋体" w:cs="宋体"/>
          <w:color w:val="auto"/>
          <w:sz w:val="24"/>
          <w:szCs w:val="24"/>
          <w:lang w:val="en-GB"/>
        </w:rPr>
        <w:t>由此产生的一切经济损失由中标供应商自行承担。</w:t>
      </w:r>
    </w:p>
    <w:p w14:paraId="7DDE40AC">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.10.</w:t>
      </w:r>
      <w:r>
        <w:rPr>
          <w:rFonts w:hint="eastAsia" w:ascii="宋体" w:hAnsi="宋体" w:cs="宋体"/>
          <w:color w:val="auto"/>
          <w:sz w:val="24"/>
          <w:szCs w:val="24"/>
        </w:rPr>
        <w:t>中标供应商所送食材品质不符合食品卫生安全质量标准和本合同验收标准的，采购人有权拒收，中标供应商应保证在采购人指定的时间内增补送到。退货后中标供应商不在规定时间内送达增补的，采购人按该品种当天货款的</w:t>
      </w:r>
      <w:r>
        <w:rPr>
          <w:rFonts w:ascii="宋体" w:hAnsi="宋体" w:cs="宋体"/>
          <w:color w:val="auto"/>
          <w:sz w:val="24"/>
          <w:szCs w:val="24"/>
        </w:rPr>
        <w:t>10%</w:t>
      </w:r>
      <w:r>
        <w:rPr>
          <w:rFonts w:hint="eastAsia" w:ascii="宋体" w:hAnsi="宋体" w:cs="宋体"/>
          <w:color w:val="auto"/>
          <w:sz w:val="24"/>
          <w:szCs w:val="24"/>
        </w:rPr>
        <w:t>向中标供应商处罚。当批不合格货物累计达当批总量的</w:t>
      </w:r>
      <w:r>
        <w:rPr>
          <w:rFonts w:ascii="宋体" w:hAnsi="宋体" w:cs="宋体"/>
          <w:color w:val="auto"/>
          <w:sz w:val="24"/>
          <w:szCs w:val="24"/>
        </w:rPr>
        <w:t>20%</w:t>
      </w:r>
      <w:r>
        <w:rPr>
          <w:rFonts w:hint="eastAsia" w:ascii="宋体" w:hAnsi="宋体" w:cs="宋体"/>
          <w:color w:val="auto"/>
          <w:sz w:val="24"/>
          <w:szCs w:val="24"/>
        </w:rPr>
        <w:t>以上的，采购人除退货外，还按当天货款的</w:t>
      </w:r>
      <w:r>
        <w:rPr>
          <w:rFonts w:ascii="宋体" w:hAnsi="宋体" w:cs="宋体"/>
          <w:color w:val="auto"/>
          <w:sz w:val="24"/>
          <w:szCs w:val="24"/>
        </w:rPr>
        <w:t>20%</w:t>
      </w:r>
      <w:r>
        <w:rPr>
          <w:rFonts w:hint="eastAsia" w:ascii="宋体" w:hAnsi="宋体" w:cs="宋体"/>
          <w:color w:val="auto"/>
          <w:sz w:val="24"/>
          <w:szCs w:val="24"/>
        </w:rPr>
        <w:t>向中标供应商处罚。</w:t>
      </w:r>
    </w:p>
    <w:p w14:paraId="07A8DB4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.11.</w:t>
      </w:r>
      <w:r>
        <w:rPr>
          <w:rFonts w:hint="eastAsia" w:ascii="宋体" w:hAnsi="宋体" w:cs="宋体"/>
          <w:color w:val="auto"/>
          <w:sz w:val="24"/>
          <w:szCs w:val="24"/>
        </w:rPr>
        <w:t>中标供应商未能按期、按质、按量送交货物或送货不符合合同规定的，累计出现三次以上该行为的，中标供应商则构为违约，采购人有权终止合同。</w:t>
      </w:r>
    </w:p>
    <w:p w14:paraId="762073FB">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7</w:t>
      </w:r>
      <w:r>
        <w:rPr>
          <w:rFonts w:ascii="宋体" w:hAnsi="宋体" w:cs="宋体"/>
          <w:color w:val="auto"/>
          <w:sz w:val="24"/>
          <w:szCs w:val="24"/>
        </w:rPr>
        <w:t>.12.</w:t>
      </w:r>
      <w:r>
        <w:rPr>
          <w:rFonts w:hint="eastAsia" w:ascii="宋体" w:hAnsi="宋体" w:cs="宋体"/>
          <w:color w:val="auto"/>
          <w:sz w:val="24"/>
          <w:szCs w:val="24"/>
        </w:rPr>
        <w:t>采购人拒收不符合招标文件要求的食材的，每次中标供应商向采购人偿付当批货款</w:t>
      </w:r>
      <w:r>
        <w:rPr>
          <w:rFonts w:ascii="宋体" w:hAnsi="宋体" w:cs="宋体"/>
          <w:color w:val="auto"/>
          <w:sz w:val="24"/>
          <w:szCs w:val="24"/>
        </w:rPr>
        <w:t>5%</w:t>
      </w:r>
      <w:r>
        <w:rPr>
          <w:rFonts w:hint="eastAsia" w:ascii="宋体" w:hAnsi="宋体" w:cs="宋体"/>
          <w:color w:val="auto"/>
          <w:sz w:val="24"/>
          <w:szCs w:val="24"/>
        </w:rPr>
        <w:t>的罚金。</w:t>
      </w:r>
    </w:p>
    <w:p w14:paraId="682D9E6D">
      <w:pPr>
        <w:tabs>
          <w:tab w:val="left" w:pos="900"/>
        </w:tabs>
        <w:autoSpaceDE w:val="0"/>
        <w:autoSpaceDN w:val="0"/>
        <w:adjustRightInd w:val="0"/>
        <w:snapToGrid w:val="0"/>
        <w:spacing w:line="360" w:lineRule="auto"/>
        <w:ind w:left="-496" w:leftChars="-236"/>
        <w:rPr>
          <w:rFonts w:hint="eastAsia" w:ascii="宋体" w:eastAsia="宋体" w:cs="Times New Roman"/>
          <w:b/>
          <w:bCs/>
          <w:color w:val="auto"/>
          <w:sz w:val="24"/>
          <w:szCs w:val="24"/>
          <w:lang w:eastAsia="zh-CN"/>
        </w:rPr>
      </w:pPr>
      <w:r>
        <w:rPr>
          <w:rFonts w:hint="eastAsia" w:ascii="宋体" w:hAnsi="宋体" w:cs="宋体"/>
          <w:b/>
          <w:bCs/>
          <w:color w:val="auto"/>
          <w:sz w:val="24"/>
          <w:szCs w:val="24"/>
        </w:rPr>
        <w:t>注：本项目涉及到的违约及处罚（罚款）在中标供应商违反相应违约责任时</w:t>
      </w:r>
      <w:r>
        <w:rPr>
          <w:rFonts w:ascii="宋体" w:hAnsi="宋体" w:cs="宋体"/>
          <w:b/>
          <w:bCs/>
          <w:color w:val="auto"/>
          <w:sz w:val="24"/>
          <w:szCs w:val="24"/>
        </w:rPr>
        <w:t>3</w:t>
      </w:r>
      <w:r>
        <w:rPr>
          <w:rFonts w:hint="eastAsia" w:ascii="宋体" w:hAnsi="宋体" w:cs="宋体"/>
          <w:b/>
          <w:bCs/>
          <w:color w:val="auto"/>
          <w:sz w:val="24"/>
          <w:szCs w:val="24"/>
        </w:rPr>
        <w:t>天内向采购人以现金转账方式进行缴纳</w:t>
      </w:r>
      <w:r>
        <w:rPr>
          <w:rFonts w:hint="eastAsia" w:ascii="宋体" w:hAnsi="宋体" w:cs="宋体"/>
          <w:b/>
          <w:bCs/>
          <w:color w:val="auto"/>
          <w:sz w:val="24"/>
          <w:szCs w:val="24"/>
          <w:lang w:eastAsia="zh-CN"/>
        </w:rPr>
        <w:t>。</w:t>
      </w:r>
    </w:p>
    <w:p w14:paraId="5286E989">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8</w:t>
      </w:r>
      <w:r>
        <w:rPr>
          <w:rFonts w:ascii="宋体" w:hAnsi="宋体" w:cs="宋体"/>
          <w:color w:val="auto"/>
          <w:sz w:val="24"/>
          <w:szCs w:val="24"/>
        </w:rPr>
        <w:t>.</w:t>
      </w:r>
      <w:r>
        <w:rPr>
          <w:rFonts w:hint="eastAsia" w:ascii="宋体" w:hAnsi="宋体" w:cs="宋体"/>
          <w:color w:val="auto"/>
          <w:sz w:val="24"/>
          <w:szCs w:val="24"/>
        </w:rPr>
        <w:t>退出机制</w:t>
      </w:r>
    </w:p>
    <w:p w14:paraId="6C69FF08">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.1.</w:t>
      </w:r>
      <w:r>
        <w:rPr>
          <w:rFonts w:hint="eastAsia" w:ascii="宋体" w:hAnsi="宋体" w:cs="宋体"/>
          <w:color w:val="auto"/>
          <w:kern w:val="44"/>
          <w:sz w:val="24"/>
          <w:szCs w:val="24"/>
        </w:rPr>
        <w:t>中标供应商按要求与采购人签订的配送合同及安全承诺书，在合同期满后自然退出。</w:t>
      </w:r>
    </w:p>
    <w:p w14:paraId="681884AB">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.2.</w:t>
      </w:r>
      <w:r>
        <w:rPr>
          <w:rFonts w:hint="eastAsia" w:ascii="宋体" w:hAnsi="宋体" w:cs="宋体"/>
          <w:color w:val="auto"/>
          <w:kern w:val="44"/>
          <w:sz w:val="24"/>
          <w:szCs w:val="24"/>
        </w:rPr>
        <w:t>在招投标过程中以弄虚作假等欺诈手段中标，或配送过程中由于情况变化不再符合准入条件的，采购人有权立即取消其配送资格，责令限期退出。</w:t>
      </w:r>
    </w:p>
    <w:p w14:paraId="0ACE01BF">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.3.</w:t>
      </w:r>
      <w:r>
        <w:rPr>
          <w:rFonts w:hint="eastAsia" w:ascii="宋体" w:hAnsi="宋体" w:cs="宋体"/>
          <w:color w:val="auto"/>
          <w:kern w:val="44"/>
          <w:sz w:val="24"/>
          <w:szCs w:val="24"/>
        </w:rPr>
        <w:t>中标供应商在合同期间未按配送要求提供原料，影响正常就餐的，屡范者，采购人有权立即取消其配送资格，责令限期退出。</w:t>
      </w:r>
    </w:p>
    <w:p w14:paraId="3599C0A8">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sz w:val="24"/>
          <w:szCs w:val="24"/>
        </w:rPr>
        <w:t>8</w:t>
      </w:r>
      <w:r>
        <w:rPr>
          <w:rFonts w:ascii="宋体" w:hAnsi="宋体" w:cs="宋体"/>
          <w:color w:val="auto"/>
          <w:sz w:val="24"/>
          <w:szCs w:val="24"/>
        </w:rPr>
        <w:t>.4.</w:t>
      </w:r>
      <w:r>
        <w:rPr>
          <w:rFonts w:hint="eastAsia" w:ascii="宋体" w:hAnsi="宋体" w:cs="宋体"/>
          <w:color w:val="auto"/>
          <w:sz w:val="24"/>
          <w:szCs w:val="24"/>
          <w:lang w:val="en-GB"/>
        </w:rPr>
        <w:t>中标供应商未能履行招标文件和合同所定事项</w:t>
      </w:r>
      <w:r>
        <w:rPr>
          <w:rFonts w:ascii="宋体" w:cs="宋体"/>
          <w:color w:val="auto"/>
          <w:sz w:val="24"/>
          <w:szCs w:val="24"/>
          <w:lang w:val="en-GB"/>
        </w:rPr>
        <w:t>,</w:t>
      </w:r>
      <w:r>
        <w:rPr>
          <w:rFonts w:hint="eastAsia" w:ascii="宋体" w:hAnsi="宋体" w:cs="宋体"/>
          <w:color w:val="auto"/>
          <w:sz w:val="24"/>
          <w:szCs w:val="24"/>
          <w:lang w:val="en-GB"/>
        </w:rPr>
        <w:t>或供应不合格的、假冒伪劣、以次充好的商品，采购人退货后将记录在案，一个月内累计达到</w:t>
      </w:r>
      <w:r>
        <w:rPr>
          <w:rFonts w:ascii="宋体" w:hAnsi="宋体" w:cs="宋体"/>
          <w:color w:val="auto"/>
          <w:sz w:val="24"/>
          <w:szCs w:val="24"/>
        </w:rPr>
        <w:t>3</w:t>
      </w:r>
      <w:r>
        <w:rPr>
          <w:rFonts w:hint="eastAsia" w:ascii="宋体" w:hAnsi="宋体" w:cs="宋体"/>
          <w:color w:val="auto"/>
          <w:sz w:val="24"/>
          <w:szCs w:val="24"/>
          <w:lang w:val="en-GB"/>
        </w:rPr>
        <w:t>次的，采购人有权解除合同，</w:t>
      </w:r>
      <w:r>
        <w:rPr>
          <w:rFonts w:hint="eastAsia" w:ascii="宋体" w:hAnsi="宋体" w:cs="宋体"/>
          <w:color w:val="auto"/>
          <w:kern w:val="44"/>
          <w:sz w:val="24"/>
          <w:szCs w:val="24"/>
        </w:rPr>
        <w:t>责令限期退出。</w:t>
      </w:r>
    </w:p>
    <w:p w14:paraId="7DF30414">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8</w:t>
      </w:r>
      <w:r>
        <w:rPr>
          <w:rFonts w:ascii="宋体" w:hAnsi="宋体" w:cs="宋体"/>
          <w:color w:val="auto"/>
          <w:kern w:val="44"/>
          <w:sz w:val="24"/>
          <w:szCs w:val="24"/>
        </w:rPr>
        <w:t>.5.</w:t>
      </w:r>
      <w:r>
        <w:rPr>
          <w:rFonts w:hint="eastAsia" w:ascii="宋体" w:hAnsi="宋体" w:cs="宋体"/>
          <w:color w:val="auto"/>
          <w:kern w:val="44"/>
          <w:sz w:val="24"/>
          <w:szCs w:val="24"/>
        </w:rPr>
        <w:t>确认为中标供应商而造成的食物中毒事故或配送食品质量引发重大食品安全事故，采购人有权立即取消其配送资格，责令限期退出，对所造成的损失有权追究中标供应商的法律责任和经济赔偿。</w:t>
      </w:r>
    </w:p>
    <w:p w14:paraId="7B98EDC6">
      <w:pPr>
        <w:tabs>
          <w:tab w:val="left" w:pos="900"/>
        </w:tabs>
        <w:autoSpaceDE w:val="0"/>
        <w:autoSpaceDN w:val="0"/>
        <w:adjustRightInd w:val="0"/>
        <w:snapToGrid w:val="0"/>
        <w:spacing w:line="360" w:lineRule="auto"/>
        <w:ind w:left="-496" w:leftChars="-236"/>
        <w:rPr>
          <w:rFonts w:ascii="宋体" w:cs="Times New Roman"/>
          <w:color w:val="auto"/>
          <w:sz w:val="24"/>
          <w:szCs w:val="24"/>
          <w:lang w:val="en-GB"/>
        </w:rPr>
      </w:pPr>
      <w:r>
        <w:rPr>
          <w:rFonts w:hint="eastAsia" w:ascii="宋体" w:hAnsi="宋体" w:cs="宋体"/>
          <w:color w:val="auto"/>
          <w:sz w:val="24"/>
          <w:szCs w:val="24"/>
        </w:rPr>
        <w:t>8</w:t>
      </w:r>
      <w:r>
        <w:rPr>
          <w:rFonts w:ascii="宋体" w:hAnsi="宋体" w:cs="宋体"/>
          <w:color w:val="auto"/>
          <w:sz w:val="24"/>
          <w:szCs w:val="24"/>
        </w:rPr>
        <w:t>.6.</w:t>
      </w:r>
      <w:r>
        <w:rPr>
          <w:rFonts w:hint="eastAsia" w:ascii="宋体" w:hAnsi="宋体" w:cs="宋体"/>
          <w:color w:val="auto"/>
          <w:sz w:val="24"/>
          <w:szCs w:val="24"/>
          <w:lang w:val="en-GB"/>
        </w:rPr>
        <w:t>中标供应商不能按核定的供货价交付中标商品、或不能提供与其承诺相符的服务或中标供应商存在违反招标文件和合同的行为，并且不予纠正的，将终止签订的采购合同，</w:t>
      </w:r>
      <w:r>
        <w:rPr>
          <w:rFonts w:hint="eastAsia" w:ascii="宋体" w:hAnsi="宋体" w:cs="宋体"/>
          <w:color w:val="auto"/>
          <w:kern w:val="44"/>
          <w:sz w:val="24"/>
          <w:szCs w:val="24"/>
        </w:rPr>
        <w:t>责令限期退出。</w:t>
      </w:r>
      <w:r>
        <w:rPr>
          <w:rFonts w:hint="eastAsia" w:ascii="宋体" w:hAnsi="宋体" w:cs="宋体"/>
          <w:color w:val="auto"/>
          <w:sz w:val="24"/>
          <w:szCs w:val="24"/>
          <w:lang w:val="en-GB"/>
        </w:rPr>
        <w:t>此项下</w:t>
      </w:r>
      <w:r>
        <w:rPr>
          <w:rFonts w:hint="eastAsia" w:ascii="宋体" w:hAnsi="宋体" w:cs="宋体"/>
          <w:color w:val="auto"/>
          <w:sz w:val="24"/>
          <w:szCs w:val="24"/>
        </w:rPr>
        <w:t>违反招标文件和合同的行为</w:t>
      </w:r>
      <w:r>
        <w:rPr>
          <w:rFonts w:hint="eastAsia" w:ascii="宋体" w:hAnsi="宋体" w:cs="宋体"/>
          <w:color w:val="auto"/>
          <w:sz w:val="24"/>
          <w:szCs w:val="24"/>
          <w:lang w:val="en-GB"/>
        </w:rPr>
        <w:t>包括但不限于下列各项：</w:t>
      </w:r>
    </w:p>
    <w:p w14:paraId="24AAAE21">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w:t>
      </w:r>
      <w:r>
        <w:rPr>
          <w:rFonts w:ascii="宋体" w:hAnsi="宋体" w:cs="宋体"/>
          <w:color w:val="auto"/>
          <w:kern w:val="44"/>
          <w:sz w:val="24"/>
          <w:szCs w:val="24"/>
        </w:rPr>
        <w:t>1</w:t>
      </w:r>
      <w:r>
        <w:rPr>
          <w:rFonts w:hint="eastAsia" w:ascii="宋体" w:hAnsi="宋体" w:cs="宋体"/>
          <w:color w:val="auto"/>
          <w:kern w:val="44"/>
          <w:sz w:val="24"/>
          <w:szCs w:val="24"/>
        </w:rPr>
        <w:t>）中标供应商在收到采购人订货要求后，在承诺的供货时间内不能供货的；</w:t>
      </w:r>
    </w:p>
    <w:p w14:paraId="303E73B4">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hint="eastAsia" w:ascii="宋体" w:hAnsi="宋体" w:cs="宋体"/>
          <w:color w:val="auto"/>
          <w:kern w:val="44"/>
          <w:sz w:val="24"/>
          <w:szCs w:val="24"/>
        </w:rPr>
        <w:t>（</w:t>
      </w:r>
      <w:r>
        <w:rPr>
          <w:rFonts w:ascii="宋体" w:hAnsi="宋体" w:cs="宋体"/>
          <w:color w:val="auto"/>
          <w:kern w:val="44"/>
          <w:sz w:val="24"/>
          <w:szCs w:val="24"/>
        </w:rPr>
        <w:t>2</w:t>
      </w:r>
      <w:r>
        <w:rPr>
          <w:rFonts w:hint="eastAsia" w:ascii="宋体" w:hAnsi="宋体" w:cs="宋体"/>
          <w:color w:val="auto"/>
          <w:kern w:val="44"/>
          <w:sz w:val="24"/>
          <w:szCs w:val="24"/>
        </w:rPr>
        <w:t>）中标供应商未能提供承诺的服务的。</w:t>
      </w:r>
    </w:p>
    <w:p w14:paraId="558F859B">
      <w:pPr>
        <w:tabs>
          <w:tab w:val="left" w:pos="900"/>
        </w:tabs>
        <w:autoSpaceDE w:val="0"/>
        <w:autoSpaceDN w:val="0"/>
        <w:adjustRightInd w:val="0"/>
        <w:snapToGrid w:val="0"/>
        <w:spacing w:line="360" w:lineRule="auto"/>
        <w:ind w:left="-496" w:leftChars="-236"/>
        <w:rPr>
          <w:rFonts w:ascii="宋体" w:cs="Times New Roman"/>
          <w:color w:val="auto"/>
          <w:sz w:val="24"/>
          <w:szCs w:val="24"/>
          <w:lang w:val="en-GB"/>
        </w:rPr>
      </w:pPr>
      <w:r>
        <w:rPr>
          <w:rFonts w:hint="eastAsia" w:ascii="宋体" w:hAnsi="宋体" w:cs="宋体"/>
          <w:color w:val="auto"/>
          <w:sz w:val="24"/>
          <w:szCs w:val="24"/>
          <w:lang w:val="en-GB"/>
        </w:rPr>
        <w:t>（</w:t>
      </w:r>
      <w:r>
        <w:rPr>
          <w:rFonts w:ascii="宋体" w:hAnsi="宋体" w:cs="宋体"/>
          <w:color w:val="auto"/>
          <w:sz w:val="24"/>
          <w:szCs w:val="24"/>
        </w:rPr>
        <w:t>3</w:t>
      </w:r>
      <w:r>
        <w:rPr>
          <w:rFonts w:hint="eastAsia" w:ascii="宋体" w:hAnsi="宋体" w:cs="宋体"/>
          <w:color w:val="auto"/>
          <w:sz w:val="24"/>
          <w:szCs w:val="24"/>
          <w:lang w:val="en-GB"/>
        </w:rPr>
        <w:t>）中标供应商应严格遵守《食品卫生法》和《动物检疫法》等相关规定，一经发现供应以下食品，除全部退货外，将取消供货单位的供货资格，终止签订的采购合同，</w:t>
      </w:r>
      <w:r>
        <w:rPr>
          <w:rFonts w:hint="eastAsia" w:ascii="宋体" w:hAnsi="宋体" w:cs="宋体"/>
          <w:color w:val="auto"/>
          <w:kern w:val="44"/>
          <w:sz w:val="24"/>
          <w:szCs w:val="24"/>
        </w:rPr>
        <w:t>责令限期退出。</w:t>
      </w:r>
      <w:r>
        <w:rPr>
          <w:rFonts w:hint="eastAsia" w:ascii="宋体" w:hAnsi="宋体" w:cs="宋体"/>
          <w:color w:val="auto"/>
          <w:sz w:val="24"/>
          <w:szCs w:val="24"/>
          <w:lang w:val="en-GB"/>
        </w:rPr>
        <w:t>供货单位承担由此造成的经济责任和法律责任：</w:t>
      </w:r>
    </w:p>
    <w:p w14:paraId="115F1A7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1 \* GB3 \* MERGEFORMAT </w:instrText>
      </w:r>
      <w:r>
        <w:rPr>
          <w:rFonts w:ascii="宋体" w:hAnsi="宋体" w:cs="宋体"/>
          <w:color w:val="auto"/>
          <w:kern w:val="44"/>
          <w:sz w:val="24"/>
          <w:szCs w:val="24"/>
        </w:rPr>
        <w:fldChar w:fldCharType="separate"/>
      </w:r>
      <w:r>
        <w:rPr>
          <w:rFonts w:hint="eastAsia" w:cs="宋体"/>
          <w:color w:val="auto"/>
        </w:rPr>
        <w:t>①</w:t>
      </w:r>
      <w:r>
        <w:rPr>
          <w:rFonts w:ascii="宋体" w:hAnsi="宋体" w:cs="宋体"/>
          <w:color w:val="auto"/>
          <w:kern w:val="44"/>
          <w:sz w:val="24"/>
          <w:szCs w:val="24"/>
        </w:rPr>
        <w:fldChar w:fldCharType="end"/>
      </w:r>
      <w:r>
        <w:rPr>
          <w:rFonts w:hint="eastAsia" w:ascii="宋体" w:hAnsi="宋体" w:cs="宋体"/>
          <w:color w:val="auto"/>
          <w:kern w:val="44"/>
          <w:sz w:val="24"/>
          <w:szCs w:val="24"/>
        </w:rPr>
        <w:t>腐败变质、油脂酸败、霉变、生虫、污秽不洁、混有异物或者其他感官性状异常，对人体健康有害的；</w:t>
      </w:r>
    </w:p>
    <w:p w14:paraId="66EF6E05">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2 \* GB3 \* MERGEFORMAT </w:instrText>
      </w:r>
      <w:r>
        <w:rPr>
          <w:rFonts w:ascii="宋体" w:hAnsi="宋体" w:cs="宋体"/>
          <w:color w:val="auto"/>
          <w:kern w:val="44"/>
          <w:sz w:val="24"/>
          <w:szCs w:val="24"/>
        </w:rPr>
        <w:fldChar w:fldCharType="separate"/>
      </w:r>
      <w:r>
        <w:rPr>
          <w:rFonts w:hint="eastAsia" w:cs="宋体"/>
          <w:color w:val="auto"/>
        </w:rPr>
        <w:t>②</w:t>
      </w:r>
      <w:r>
        <w:rPr>
          <w:rFonts w:ascii="宋体" w:hAnsi="宋体" w:cs="宋体"/>
          <w:color w:val="auto"/>
          <w:kern w:val="44"/>
          <w:sz w:val="24"/>
          <w:szCs w:val="24"/>
        </w:rPr>
        <w:fldChar w:fldCharType="end"/>
      </w:r>
      <w:r>
        <w:rPr>
          <w:rFonts w:hint="eastAsia" w:ascii="宋体" w:hAnsi="宋体" w:cs="宋体"/>
          <w:color w:val="auto"/>
          <w:kern w:val="44"/>
          <w:sz w:val="24"/>
          <w:szCs w:val="24"/>
        </w:rPr>
        <w:t>含有毒、有害物质或者被有害物质污染，对人体健康有害的；</w:t>
      </w:r>
    </w:p>
    <w:p w14:paraId="51247283">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3 \* GB3 \* MERGEFORMAT </w:instrText>
      </w:r>
      <w:r>
        <w:rPr>
          <w:rFonts w:ascii="宋体" w:hAnsi="宋体" w:cs="宋体"/>
          <w:color w:val="auto"/>
          <w:kern w:val="44"/>
          <w:sz w:val="24"/>
          <w:szCs w:val="24"/>
        </w:rPr>
        <w:fldChar w:fldCharType="separate"/>
      </w:r>
      <w:r>
        <w:rPr>
          <w:rFonts w:hint="eastAsia" w:cs="宋体"/>
          <w:color w:val="auto"/>
        </w:rPr>
        <w:t>③</w:t>
      </w:r>
      <w:r>
        <w:rPr>
          <w:rFonts w:ascii="宋体" w:hAnsi="宋体" w:cs="宋体"/>
          <w:color w:val="auto"/>
          <w:kern w:val="44"/>
          <w:sz w:val="24"/>
          <w:szCs w:val="24"/>
        </w:rPr>
        <w:fldChar w:fldCharType="end"/>
      </w:r>
      <w:r>
        <w:rPr>
          <w:rFonts w:hint="eastAsia" w:ascii="宋体" w:hAnsi="宋体" w:cs="宋体"/>
          <w:color w:val="auto"/>
          <w:kern w:val="44"/>
          <w:sz w:val="24"/>
          <w:szCs w:val="24"/>
        </w:rPr>
        <w:t>含有致病性寄生虫、微生物或者微生物含量超过国家限定标准的；</w:t>
      </w:r>
    </w:p>
    <w:p w14:paraId="5D62A0D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4 \* GB3 \* MERGEFORMAT </w:instrText>
      </w:r>
      <w:r>
        <w:rPr>
          <w:rFonts w:ascii="宋体" w:hAnsi="宋体" w:cs="宋体"/>
          <w:color w:val="auto"/>
          <w:kern w:val="44"/>
          <w:sz w:val="24"/>
          <w:szCs w:val="24"/>
        </w:rPr>
        <w:fldChar w:fldCharType="separate"/>
      </w:r>
      <w:r>
        <w:rPr>
          <w:rFonts w:hint="eastAsia" w:cs="宋体"/>
          <w:color w:val="auto"/>
        </w:rPr>
        <w:t>④</w:t>
      </w:r>
      <w:r>
        <w:rPr>
          <w:rFonts w:ascii="宋体" w:hAnsi="宋体" w:cs="宋体"/>
          <w:color w:val="auto"/>
          <w:kern w:val="44"/>
          <w:sz w:val="24"/>
          <w:szCs w:val="24"/>
        </w:rPr>
        <w:fldChar w:fldCharType="end"/>
      </w:r>
      <w:r>
        <w:rPr>
          <w:rFonts w:hint="eastAsia" w:ascii="宋体" w:hAnsi="宋体" w:cs="宋体"/>
          <w:color w:val="auto"/>
          <w:kern w:val="44"/>
          <w:sz w:val="24"/>
          <w:szCs w:val="24"/>
        </w:rPr>
        <w:t>未经动物检疫部门检疫、检验或者检疫、检验不合格的肉类及其制品；</w:t>
      </w:r>
    </w:p>
    <w:p w14:paraId="3AA0926D">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5 \* GB3 \* MERGEFORMAT </w:instrText>
      </w:r>
      <w:r>
        <w:rPr>
          <w:rFonts w:ascii="宋体" w:hAnsi="宋体" w:cs="宋体"/>
          <w:color w:val="auto"/>
          <w:kern w:val="44"/>
          <w:sz w:val="24"/>
          <w:szCs w:val="24"/>
        </w:rPr>
        <w:fldChar w:fldCharType="separate"/>
      </w:r>
      <w:r>
        <w:rPr>
          <w:rFonts w:hint="eastAsia" w:cs="宋体"/>
          <w:color w:val="auto"/>
        </w:rPr>
        <w:t>⑤</w:t>
      </w:r>
      <w:r>
        <w:rPr>
          <w:rFonts w:ascii="宋体" w:hAnsi="宋体" w:cs="宋体"/>
          <w:color w:val="auto"/>
          <w:kern w:val="44"/>
          <w:sz w:val="24"/>
          <w:szCs w:val="24"/>
        </w:rPr>
        <w:fldChar w:fldCharType="end"/>
      </w:r>
      <w:r>
        <w:rPr>
          <w:rFonts w:hint="eastAsia" w:ascii="宋体" w:hAnsi="宋体" w:cs="宋体"/>
          <w:color w:val="auto"/>
          <w:kern w:val="44"/>
          <w:sz w:val="24"/>
          <w:szCs w:val="24"/>
        </w:rPr>
        <w:t>病死、毒死或者死因不明的禽、兽、水产动物等及其制品；</w:t>
      </w:r>
    </w:p>
    <w:p w14:paraId="5819D96A">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6 \* GB3 \* MERGEFORMAT </w:instrText>
      </w:r>
      <w:r>
        <w:rPr>
          <w:rFonts w:ascii="宋体" w:hAnsi="宋体" w:cs="宋体"/>
          <w:color w:val="auto"/>
          <w:kern w:val="44"/>
          <w:sz w:val="24"/>
          <w:szCs w:val="24"/>
        </w:rPr>
        <w:fldChar w:fldCharType="separate"/>
      </w:r>
      <w:r>
        <w:rPr>
          <w:rFonts w:hint="eastAsia" w:cs="宋体"/>
          <w:color w:val="auto"/>
        </w:rPr>
        <w:t>⑥</w:t>
      </w:r>
      <w:r>
        <w:rPr>
          <w:rFonts w:ascii="宋体" w:hAnsi="宋体" w:cs="宋体"/>
          <w:color w:val="auto"/>
          <w:kern w:val="44"/>
          <w:sz w:val="24"/>
          <w:szCs w:val="24"/>
        </w:rPr>
        <w:fldChar w:fldCharType="end"/>
      </w:r>
      <w:r>
        <w:rPr>
          <w:rFonts w:hint="eastAsia" w:ascii="宋体" w:hAnsi="宋体" w:cs="宋体"/>
          <w:color w:val="auto"/>
          <w:kern w:val="44"/>
          <w:sz w:val="24"/>
          <w:szCs w:val="24"/>
        </w:rPr>
        <w:t>掺假、掺杂、伪造，影响营养、卫生的；</w:t>
      </w:r>
    </w:p>
    <w:p w14:paraId="7AF6FE1E">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7 \* GB3 \* MERGEFORMAT </w:instrText>
      </w:r>
      <w:r>
        <w:rPr>
          <w:rFonts w:ascii="宋体" w:hAnsi="宋体" w:cs="宋体"/>
          <w:color w:val="auto"/>
          <w:kern w:val="44"/>
          <w:sz w:val="24"/>
          <w:szCs w:val="24"/>
        </w:rPr>
        <w:fldChar w:fldCharType="separate"/>
      </w:r>
      <w:r>
        <w:rPr>
          <w:rFonts w:hint="eastAsia" w:cs="宋体"/>
          <w:color w:val="auto"/>
        </w:rPr>
        <w:t>⑦</w:t>
      </w:r>
      <w:r>
        <w:rPr>
          <w:rFonts w:ascii="宋体" w:hAnsi="宋体" w:cs="宋体"/>
          <w:color w:val="auto"/>
          <w:kern w:val="44"/>
          <w:sz w:val="24"/>
          <w:szCs w:val="24"/>
        </w:rPr>
        <w:fldChar w:fldCharType="end"/>
      </w:r>
      <w:r>
        <w:rPr>
          <w:rFonts w:hint="eastAsia" w:ascii="宋体" w:hAnsi="宋体" w:cs="宋体"/>
          <w:color w:val="auto"/>
          <w:kern w:val="44"/>
          <w:sz w:val="24"/>
          <w:szCs w:val="24"/>
        </w:rPr>
        <w:t>用非食品原料加工的，加入非食品用化学物质或者将非食品当作食品的；</w:t>
      </w:r>
    </w:p>
    <w:p w14:paraId="3FD93008">
      <w:pPr>
        <w:tabs>
          <w:tab w:val="left" w:pos="900"/>
        </w:tabs>
        <w:autoSpaceDE w:val="0"/>
        <w:autoSpaceDN w:val="0"/>
        <w:adjustRightInd w:val="0"/>
        <w:snapToGrid w:val="0"/>
        <w:spacing w:line="360" w:lineRule="auto"/>
        <w:ind w:left="-496" w:leftChars="-236"/>
        <w:rPr>
          <w:rFonts w:ascii="宋体" w:cs="Times New Roman"/>
          <w:color w:val="auto"/>
          <w:kern w:val="44"/>
          <w:sz w:val="24"/>
          <w:szCs w:val="24"/>
        </w:rPr>
      </w:pPr>
      <w:r>
        <w:rPr>
          <w:rFonts w:ascii="宋体" w:hAnsi="宋体" w:cs="宋体"/>
          <w:color w:val="auto"/>
          <w:kern w:val="44"/>
          <w:sz w:val="24"/>
          <w:szCs w:val="24"/>
        </w:rPr>
        <w:fldChar w:fldCharType="begin"/>
      </w:r>
      <w:r>
        <w:rPr>
          <w:rFonts w:ascii="宋体" w:hAnsi="宋体" w:cs="宋体"/>
          <w:color w:val="auto"/>
          <w:kern w:val="44"/>
          <w:sz w:val="24"/>
          <w:szCs w:val="24"/>
        </w:rPr>
        <w:instrText xml:space="preserve"> = 8 \* GB3 \* MERGEFORMAT </w:instrText>
      </w:r>
      <w:r>
        <w:rPr>
          <w:rFonts w:ascii="宋体" w:hAnsi="宋体" w:cs="宋体"/>
          <w:color w:val="auto"/>
          <w:kern w:val="44"/>
          <w:sz w:val="24"/>
          <w:szCs w:val="24"/>
        </w:rPr>
        <w:fldChar w:fldCharType="separate"/>
      </w:r>
      <w:r>
        <w:rPr>
          <w:rFonts w:hint="eastAsia" w:cs="宋体"/>
          <w:color w:val="auto"/>
        </w:rPr>
        <w:t>⑧</w:t>
      </w:r>
      <w:r>
        <w:rPr>
          <w:rFonts w:ascii="宋体" w:hAnsi="宋体" w:cs="宋体"/>
          <w:color w:val="auto"/>
          <w:kern w:val="44"/>
          <w:sz w:val="24"/>
          <w:szCs w:val="24"/>
        </w:rPr>
        <w:fldChar w:fldCharType="end"/>
      </w:r>
      <w:r>
        <w:rPr>
          <w:rFonts w:hint="eastAsia" w:ascii="宋体" w:hAnsi="宋体" w:cs="宋体"/>
          <w:color w:val="auto"/>
          <w:kern w:val="44"/>
          <w:sz w:val="24"/>
          <w:szCs w:val="24"/>
        </w:rPr>
        <w:t>超过保质期限。</w:t>
      </w:r>
    </w:p>
    <w:p w14:paraId="0EF3626D">
      <w:pPr>
        <w:tabs>
          <w:tab w:val="left" w:pos="900"/>
        </w:tabs>
        <w:autoSpaceDE w:val="0"/>
        <w:autoSpaceDN w:val="0"/>
        <w:adjustRightInd w:val="0"/>
        <w:snapToGrid w:val="0"/>
        <w:spacing w:line="360" w:lineRule="auto"/>
        <w:ind w:left="-496" w:leftChars="-236"/>
        <w:rPr>
          <w:rFonts w:ascii="宋体" w:cs="Times New Roman"/>
          <w:b/>
          <w:bCs/>
          <w:snapToGrid w:val="0"/>
          <w:color w:val="auto"/>
          <w:kern w:val="0"/>
          <w:sz w:val="24"/>
          <w:szCs w:val="24"/>
        </w:rPr>
      </w:pPr>
      <w:r>
        <w:rPr>
          <w:rFonts w:hint="eastAsia" w:ascii="宋体" w:hAnsi="宋体" w:cs="宋体"/>
          <w:b/>
          <w:bCs/>
          <w:color w:val="auto"/>
          <w:sz w:val="24"/>
          <w:szCs w:val="24"/>
        </w:rPr>
        <w:t>9.</w:t>
      </w:r>
      <w:r>
        <w:rPr>
          <w:rFonts w:hint="eastAsia" w:ascii="宋体" w:hAnsi="宋体" w:cs="宋体"/>
          <w:b/>
          <w:bCs/>
          <w:snapToGrid w:val="0"/>
          <w:color w:val="auto"/>
          <w:kern w:val="0"/>
          <w:sz w:val="24"/>
          <w:szCs w:val="24"/>
        </w:rPr>
        <w:t>付款方式：</w:t>
      </w:r>
    </w:p>
    <w:p w14:paraId="33F01640">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.1</w:t>
      </w:r>
      <w:r>
        <w:rPr>
          <w:rFonts w:hint="eastAsia" w:ascii="宋体" w:hAnsi="宋体" w:cs="宋体"/>
          <w:color w:val="auto"/>
          <w:sz w:val="24"/>
          <w:szCs w:val="24"/>
        </w:rPr>
        <w:t>中标供应商货款按每月度进行结算，在次月</w:t>
      </w:r>
      <w:r>
        <w:rPr>
          <w:rFonts w:ascii="宋体" w:hAnsi="宋体" w:cs="宋体"/>
          <w:color w:val="auto"/>
          <w:sz w:val="24"/>
          <w:szCs w:val="24"/>
        </w:rPr>
        <w:t>5</w:t>
      </w:r>
      <w:r>
        <w:rPr>
          <w:rFonts w:hint="eastAsia" w:ascii="宋体" w:hAnsi="宋体" w:cs="宋体"/>
          <w:color w:val="auto"/>
          <w:sz w:val="24"/>
          <w:szCs w:val="24"/>
        </w:rPr>
        <w:t>日前必须向采购人提交双方确认的供货清单及全额发票。采购人经与中标供应商共同核对无误，自收到发票后</w:t>
      </w:r>
      <w:r>
        <w:rPr>
          <w:rFonts w:ascii="宋体" w:hAnsi="宋体" w:cs="宋体"/>
          <w:color w:val="auto"/>
          <w:sz w:val="24"/>
          <w:szCs w:val="24"/>
        </w:rPr>
        <w:t>30</w:t>
      </w:r>
      <w:r>
        <w:rPr>
          <w:rFonts w:hint="eastAsia" w:ascii="宋体" w:hAnsi="宋体" w:cs="宋体"/>
          <w:color w:val="auto"/>
          <w:sz w:val="24"/>
          <w:szCs w:val="24"/>
        </w:rPr>
        <w:t>日内将资金支付到合同约定的中标供应商账户。每月结算金额</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（汇总各类配送食材）每日的结算金额合计。</w:t>
      </w:r>
    </w:p>
    <w:p w14:paraId="3D8BA989">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.2.</w:t>
      </w:r>
      <w:r>
        <w:rPr>
          <w:rFonts w:hint="eastAsia" w:ascii="宋体" w:hAnsi="宋体" w:cs="宋体"/>
          <w:color w:val="auto"/>
          <w:sz w:val="24"/>
          <w:szCs w:val="24"/>
        </w:rPr>
        <w:t>收款方、出具发票方、合同乙方均必须与中标供应商名称一致。</w:t>
      </w:r>
    </w:p>
    <w:p w14:paraId="105F3D08">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9</w:t>
      </w:r>
      <w:r>
        <w:rPr>
          <w:rFonts w:ascii="宋体" w:hAnsi="宋体" w:cs="宋体"/>
          <w:color w:val="auto"/>
          <w:sz w:val="24"/>
          <w:szCs w:val="24"/>
        </w:rPr>
        <w:t>.3.</w:t>
      </w:r>
      <w:r>
        <w:rPr>
          <w:rFonts w:hint="eastAsia" w:ascii="宋体" w:hAnsi="宋体" w:cs="宋体"/>
          <w:color w:val="auto"/>
          <w:sz w:val="24"/>
          <w:szCs w:val="24"/>
        </w:rPr>
        <w:t>中标供应商凭以下有效文件与采购人结算：</w:t>
      </w:r>
    </w:p>
    <w:p w14:paraId="4F53871E">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）合同；</w:t>
      </w:r>
    </w:p>
    <w:p w14:paraId="30EA121E">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）中标供应商开具的正式发票；</w:t>
      </w:r>
    </w:p>
    <w:p w14:paraId="0FEB5D7D">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）供货清单。</w:t>
      </w:r>
    </w:p>
    <w:p w14:paraId="6F11520F">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w:t>
      </w:r>
      <w:r>
        <w:rPr>
          <w:rFonts w:hint="eastAsia" w:ascii="宋体" w:hAnsi="宋体" w:cs="宋体"/>
          <w:color w:val="auto"/>
          <w:sz w:val="24"/>
          <w:szCs w:val="24"/>
        </w:rPr>
        <w:t>政策落实</w:t>
      </w:r>
    </w:p>
    <w:p w14:paraId="590A67ED">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 xml:space="preserve">.1 </w:t>
      </w:r>
      <w:r>
        <w:rPr>
          <w:rFonts w:hint="eastAsia" w:ascii="宋体" w:hAnsi="宋体" w:cs="宋体"/>
          <w:color w:val="auto"/>
          <w:sz w:val="24"/>
          <w:szCs w:val="24"/>
        </w:rPr>
        <w:t>中标供应商</w:t>
      </w:r>
      <w:r>
        <w:rPr>
          <w:rFonts w:hint="eastAsia" w:ascii="宋体" w:hAnsi="宋体" w:cs="宋体"/>
          <w:color w:val="auto"/>
          <w:shd w:val="clear" w:color="auto" w:fill="FFFFFF"/>
        </w:rPr>
        <w:t>须</w:t>
      </w:r>
      <w:r>
        <w:rPr>
          <w:rFonts w:hint="eastAsia" w:ascii="宋体" w:hAnsi="宋体" w:cs="宋体"/>
          <w:color w:val="auto"/>
          <w:sz w:val="24"/>
          <w:szCs w:val="24"/>
        </w:rPr>
        <w:t>按照《政府采购促进中小企业发展管理办法》（财库</w:t>
      </w:r>
      <w:r>
        <w:rPr>
          <w:rFonts w:ascii="宋体" w:hAnsi="宋体" w:cs="宋体"/>
          <w:color w:val="auto"/>
          <w:sz w:val="24"/>
          <w:szCs w:val="24"/>
        </w:rPr>
        <w:t>[2020]46</w:t>
      </w:r>
      <w:r>
        <w:rPr>
          <w:rFonts w:hint="eastAsia" w:ascii="宋体" w:hAnsi="宋体" w:cs="宋体"/>
          <w:color w:val="auto"/>
          <w:sz w:val="24"/>
          <w:szCs w:val="24"/>
        </w:rPr>
        <w:t>号）规定的要求执行并无条件配合甲方相应资料收集、填报等。</w:t>
      </w:r>
    </w:p>
    <w:p w14:paraId="22EA52D4">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0</w:t>
      </w:r>
      <w:r>
        <w:rPr>
          <w:rFonts w:ascii="宋体" w:hAnsi="宋体" w:cs="宋体"/>
          <w:color w:val="auto"/>
          <w:sz w:val="24"/>
          <w:szCs w:val="24"/>
        </w:rPr>
        <w:t>.2</w:t>
      </w:r>
      <w:r>
        <w:rPr>
          <w:rFonts w:hint="eastAsia" w:ascii="宋体" w:hAnsi="宋体" w:cs="宋体"/>
          <w:color w:val="auto"/>
          <w:sz w:val="24"/>
          <w:szCs w:val="24"/>
        </w:rPr>
        <w:t>中标供应商须配合采购人按照规定定向采购贫困地区农副产品，并无条件配合采购人相应资料收集、填报等。</w:t>
      </w:r>
    </w:p>
    <w:p w14:paraId="759EE809">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b/>
          <w:bCs/>
          <w:color w:val="auto"/>
          <w:sz w:val="24"/>
          <w:szCs w:val="24"/>
        </w:rPr>
        <w:t>★</w:t>
      </w:r>
      <w:r>
        <w:rPr>
          <w:rFonts w:ascii="宋体" w:hAnsi="宋体" w:cs="宋体"/>
          <w:color w:val="auto"/>
          <w:sz w:val="24"/>
          <w:szCs w:val="24"/>
        </w:rPr>
        <w:t>1</w:t>
      </w:r>
      <w:r>
        <w:rPr>
          <w:rFonts w:hint="eastAsia" w:ascii="宋体" w:hAnsi="宋体" w:cs="宋体"/>
          <w:color w:val="auto"/>
          <w:sz w:val="24"/>
          <w:szCs w:val="24"/>
        </w:rPr>
        <w:t>1</w:t>
      </w:r>
      <w:r>
        <w:rPr>
          <w:rFonts w:ascii="宋体" w:hAnsi="宋体" w:cs="宋体"/>
          <w:color w:val="auto"/>
          <w:sz w:val="24"/>
          <w:szCs w:val="24"/>
        </w:rPr>
        <w:t>.</w:t>
      </w:r>
      <w:r>
        <w:rPr>
          <w:rFonts w:hint="eastAsia" w:ascii="宋体" w:hAnsi="宋体" w:cs="宋体"/>
          <w:color w:val="auto"/>
          <w:sz w:val="24"/>
          <w:szCs w:val="24"/>
        </w:rPr>
        <w:t>中标供应商提供的服务、货物、人员均须符合有关要求，且须配合采购人提供相关的检验（检测）、检疫（防疫）等材料。（投标文件中须提供承诺函）</w:t>
      </w:r>
    </w:p>
    <w:p w14:paraId="42553206">
      <w:pPr>
        <w:tabs>
          <w:tab w:val="left" w:pos="900"/>
        </w:tabs>
        <w:autoSpaceDE w:val="0"/>
        <w:autoSpaceDN w:val="0"/>
        <w:adjustRightInd w:val="0"/>
        <w:snapToGrid w:val="0"/>
        <w:spacing w:line="360" w:lineRule="auto"/>
        <w:ind w:left="-496" w:leftChars="-236"/>
        <w:rPr>
          <w:rFonts w:hint="eastAsia" w:ascii="宋体" w:hAnsi="宋体" w:cs="宋体"/>
          <w:color w:val="auto"/>
          <w:sz w:val="24"/>
          <w:szCs w:val="24"/>
        </w:rPr>
      </w:pPr>
      <w:r>
        <w:rPr>
          <w:rFonts w:hint="eastAsia" w:ascii="宋体" w:hAnsi="宋体" w:cs="宋体"/>
          <w:b/>
          <w:bCs/>
          <w:color w:val="auto"/>
          <w:sz w:val="24"/>
          <w:szCs w:val="24"/>
        </w:rPr>
        <w:t>★</w:t>
      </w:r>
      <w:r>
        <w:rPr>
          <w:rFonts w:ascii="宋体" w:hAnsi="宋体" w:cs="宋体"/>
          <w:color w:val="auto"/>
          <w:sz w:val="24"/>
          <w:szCs w:val="24"/>
        </w:rPr>
        <w:t>1</w:t>
      </w:r>
      <w:r>
        <w:rPr>
          <w:rFonts w:hint="eastAsia" w:ascii="宋体" w:hAnsi="宋体" w:cs="宋体"/>
          <w:color w:val="auto"/>
          <w:sz w:val="24"/>
          <w:szCs w:val="24"/>
        </w:rPr>
        <w:t>2</w:t>
      </w:r>
      <w:r>
        <w:rPr>
          <w:rFonts w:ascii="宋体" w:hAnsi="宋体" w:cs="宋体"/>
          <w:color w:val="auto"/>
          <w:sz w:val="24"/>
          <w:szCs w:val="24"/>
        </w:rPr>
        <w:t>.</w:t>
      </w:r>
      <w:r>
        <w:rPr>
          <w:rFonts w:hint="eastAsia" w:ascii="宋体" w:hAnsi="宋体" w:cs="宋体"/>
          <w:color w:val="auto"/>
          <w:sz w:val="24"/>
          <w:szCs w:val="24"/>
        </w:rPr>
        <w:t>投标人必须承诺，理解并同意“服务期内如因相关法律法规等政府规范性文件要求，税收征管改革发展需要，机构撤并、改革等原因采购人有权单方面终止合同，费用按服务期内实际发生的费用支付”，在投标文件中提供承诺。</w:t>
      </w:r>
    </w:p>
    <w:p w14:paraId="546B1E76">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3</w:t>
      </w:r>
      <w:r>
        <w:rPr>
          <w:rFonts w:ascii="宋体" w:hAnsi="宋体" w:cs="宋体"/>
          <w:color w:val="auto"/>
          <w:sz w:val="24"/>
          <w:szCs w:val="24"/>
        </w:rPr>
        <w:t>.</w:t>
      </w:r>
      <w:r>
        <w:rPr>
          <w:rFonts w:hint="eastAsia" w:ascii="宋体" w:hAnsi="宋体" w:cs="宋体"/>
          <w:color w:val="auto"/>
          <w:sz w:val="24"/>
          <w:szCs w:val="24"/>
        </w:rPr>
        <w:t>考核标准</w:t>
      </w:r>
    </w:p>
    <w:p w14:paraId="6266365A">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hint="eastAsia" w:ascii="宋体" w:hAnsi="宋体" w:cs="宋体"/>
          <w:color w:val="auto"/>
          <w:sz w:val="24"/>
          <w:szCs w:val="24"/>
        </w:rPr>
        <w:t>采购人在服务期限内对中标供应商实行考核制度，供货期限内若扣分累计达到</w:t>
      </w:r>
      <w:r>
        <w:rPr>
          <w:rFonts w:ascii="宋体" w:hAnsi="宋体" w:cs="宋体"/>
          <w:color w:val="auto"/>
          <w:sz w:val="24"/>
          <w:szCs w:val="24"/>
        </w:rPr>
        <w:t>30</w:t>
      </w:r>
      <w:r>
        <w:rPr>
          <w:rFonts w:hint="eastAsia" w:ascii="宋体" w:hAnsi="宋体" w:cs="宋体"/>
          <w:color w:val="auto"/>
          <w:sz w:val="24"/>
          <w:szCs w:val="24"/>
        </w:rPr>
        <w:t>分或以上的，采购人有权利取消中标供应商的中标资格，其担保金不予退还。</w:t>
      </w:r>
    </w:p>
    <w:tbl>
      <w:tblPr>
        <w:tblStyle w:val="8"/>
        <w:tblW w:w="935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920"/>
        <w:gridCol w:w="5697"/>
        <w:gridCol w:w="857"/>
        <w:gridCol w:w="900"/>
      </w:tblGrid>
      <w:tr w14:paraId="4168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noWrap w:val="0"/>
            <w:vAlign w:val="center"/>
          </w:tcPr>
          <w:p w14:paraId="14E8378F">
            <w:pPr>
              <w:jc w:val="center"/>
              <w:rPr>
                <w:rFonts w:ascii="宋体" w:cs="Times New Roman"/>
                <w:b/>
                <w:bCs/>
                <w:color w:val="auto"/>
                <w:sz w:val="24"/>
                <w:szCs w:val="24"/>
              </w:rPr>
            </w:pPr>
            <w:r>
              <w:rPr>
                <w:rFonts w:hint="eastAsia" w:ascii="宋体" w:hAnsi="宋体" w:cs="宋体"/>
                <w:b/>
                <w:bCs/>
                <w:color w:val="auto"/>
                <w:sz w:val="24"/>
                <w:szCs w:val="24"/>
              </w:rPr>
              <w:t>项目</w:t>
            </w:r>
          </w:p>
        </w:tc>
        <w:tc>
          <w:tcPr>
            <w:tcW w:w="920" w:type="dxa"/>
            <w:noWrap w:val="0"/>
            <w:vAlign w:val="center"/>
          </w:tcPr>
          <w:p w14:paraId="3CC29AE6">
            <w:pPr>
              <w:jc w:val="center"/>
              <w:rPr>
                <w:rFonts w:ascii="宋体" w:cs="Times New Roman"/>
                <w:b/>
                <w:bCs/>
                <w:color w:val="auto"/>
                <w:sz w:val="24"/>
                <w:szCs w:val="24"/>
              </w:rPr>
            </w:pPr>
            <w:r>
              <w:rPr>
                <w:rFonts w:hint="eastAsia" w:ascii="宋体" w:hAnsi="宋体" w:cs="宋体"/>
                <w:b/>
                <w:bCs/>
                <w:color w:val="auto"/>
                <w:sz w:val="24"/>
                <w:szCs w:val="24"/>
              </w:rPr>
              <w:t>序号</w:t>
            </w:r>
          </w:p>
        </w:tc>
        <w:tc>
          <w:tcPr>
            <w:tcW w:w="5697" w:type="dxa"/>
            <w:noWrap w:val="0"/>
            <w:vAlign w:val="center"/>
          </w:tcPr>
          <w:p w14:paraId="5930EFA4">
            <w:pPr>
              <w:jc w:val="center"/>
              <w:rPr>
                <w:rFonts w:ascii="宋体" w:cs="Times New Roman"/>
                <w:b/>
                <w:bCs/>
                <w:color w:val="auto"/>
                <w:sz w:val="24"/>
                <w:szCs w:val="24"/>
              </w:rPr>
            </w:pPr>
            <w:r>
              <w:rPr>
                <w:rFonts w:hint="eastAsia" w:ascii="宋体" w:hAnsi="宋体" w:cs="宋体"/>
                <w:b/>
                <w:bCs/>
                <w:color w:val="auto"/>
                <w:sz w:val="24"/>
                <w:szCs w:val="24"/>
              </w:rPr>
              <w:t>考核细则</w:t>
            </w:r>
          </w:p>
        </w:tc>
        <w:tc>
          <w:tcPr>
            <w:tcW w:w="857" w:type="dxa"/>
            <w:noWrap w:val="0"/>
            <w:vAlign w:val="center"/>
          </w:tcPr>
          <w:p w14:paraId="1B25DAB7">
            <w:pPr>
              <w:jc w:val="center"/>
              <w:rPr>
                <w:rFonts w:ascii="宋体" w:cs="Times New Roman"/>
                <w:b/>
                <w:bCs/>
                <w:color w:val="auto"/>
                <w:sz w:val="24"/>
                <w:szCs w:val="24"/>
              </w:rPr>
            </w:pPr>
            <w:r>
              <w:rPr>
                <w:rFonts w:hint="eastAsia" w:ascii="宋体" w:hAnsi="宋体" w:cs="宋体"/>
                <w:b/>
                <w:bCs/>
                <w:color w:val="auto"/>
                <w:sz w:val="24"/>
                <w:szCs w:val="24"/>
              </w:rPr>
              <w:t>扣分值</w:t>
            </w:r>
          </w:p>
        </w:tc>
        <w:tc>
          <w:tcPr>
            <w:tcW w:w="900" w:type="dxa"/>
            <w:noWrap w:val="0"/>
            <w:vAlign w:val="center"/>
          </w:tcPr>
          <w:p w14:paraId="15F82EFD">
            <w:pPr>
              <w:jc w:val="center"/>
              <w:rPr>
                <w:rFonts w:ascii="宋体" w:cs="Times New Roman"/>
                <w:b/>
                <w:bCs/>
                <w:color w:val="auto"/>
                <w:sz w:val="24"/>
                <w:szCs w:val="24"/>
              </w:rPr>
            </w:pPr>
            <w:r>
              <w:rPr>
                <w:rFonts w:hint="eastAsia" w:ascii="宋体" w:hAnsi="宋体" w:cs="宋体"/>
                <w:b/>
                <w:bCs/>
                <w:color w:val="auto"/>
                <w:sz w:val="24"/>
                <w:szCs w:val="24"/>
              </w:rPr>
              <w:t>备</w:t>
            </w:r>
            <w:r>
              <w:rPr>
                <w:rFonts w:ascii="宋体" w:hAnsi="宋体" w:cs="宋体"/>
                <w:b/>
                <w:bCs/>
                <w:color w:val="auto"/>
                <w:sz w:val="24"/>
                <w:szCs w:val="24"/>
              </w:rPr>
              <w:t xml:space="preserve">  </w:t>
            </w:r>
            <w:r>
              <w:rPr>
                <w:rFonts w:hint="eastAsia" w:ascii="宋体" w:hAnsi="宋体" w:cs="宋体"/>
                <w:b/>
                <w:bCs/>
                <w:color w:val="auto"/>
                <w:sz w:val="24"/>
                <w:szCs w:val="24"/>
              </w:rPr>
              <w:t>注</w:t>
            </w:r>
          </w:p>
        </w:tc>
      </w:tr>
      <w:tr w14:paraId="0006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762E1A5B">
            <w:pPr>
              <w:jc w:val="center"/>
              <w:rPr>
                <w:rFonts w:ascii="宋体" w:cs="Times New Roman"/>
                <w:color w:val="auto"/>
                <w:sz w:val="24"/>
                <w:szCs w:val="24"/>
              </w:rPr>
            </w:pPr>
            <w:r>
              <w:rPr>
                <w:rFonts w:hint="eastAsia" w:ascii="宋体" w:hAnsi="宋体" w:cs="宋体"/>
                <w:color w:val="auto"/>
                <w:sz w:val="24"/>
                <w:szCs w:val="24"/>
              </w:rPr>
              <w:t>价格</w:t>
            </w:r>
          </w:p>
        </w:tc>
        <w:tc>
          <w:tcPr>
            <w:tcW w:w="920" w:type="dxa"/>
            <w:noWrap w:val="0"/>
            <w:vAlign w:val="center"/>
          </w:tcPr>
          <w:p w14:paraId="2FE67F02">
            <w:pPr>
              <w:jc w:val="center"/>
              <w:rPr>
                <w:rFonts w:ascii="宋体" w:cs="Times New Roman"/>
                <w:color w:val="auto"/>
                <w:sz w:val="24"/>
                <w:szCs w:val="24"/>
              </w:rPr>
            </w:pPr>
            <w:r>
              <w:rPr>
                <w:rFonts w:ascii="宋体" w:hAnsi="宋体" w:cs="宋体"/>
                <w:color w:val="auto"/>
                <w:sz w:val="24"/>
                <w:szCs w:val="24"/>
              </w:rPr>
              <w:t>1</w:t>
            </w:r>
          </w:p>
        </w:tc>
        <w:tc>
          <w:tcPr>
            <w:tcW w:w="5697" w:type="dxa"/>
            <w:noWrap w:val="0"/>
            <w:vAlign w:val="top"/>
          </w:tcPr>
          <w:p w14:paraId="50C9CCEA">
            <w:pPr>
              <w:rPr>
                <w:rFonts w:ascii="宋体" w:cs="Times New Roman"/>
                <w:color w:val="auto"/>
                <w:sz w:val="24"/>
                <w:szCs w:val="24"/>
              </w:rPr>
            </w:pPr>
            <w:r>
              <w:rPr>
                <w:rFonts w:hint="eastAsia" w:ascii="宋体" w:hAnsi="宋体" w:cs="宋体"/>
                <w:color w:val="auto"/>
                <w:sz w:val="24"/>
                <w:szCs w:val="24"/>
              </w:rPr>
              <w:t>未按约定价格供货的，每发现一项次扣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5EE0EC8C">
            <w:pPr>
              <w:rPr>
                <w:rFonts w:ascii="宋体" w:cs="Times New Roman"/>
                <w:color w:val="auto"/>
                <w:sz w:val="24"/>
                <w:szCs w:val="24"/>
              </w:rPr>
            </w:pPr>
          </w:p>
        </w:tc>
        <w:tc>
          <w:tcPr>
            <w:tcW w:w="900" w:type="dxa"/>
            <w:noWrap w:val="0"/>
            <w:vAlign w:val="top"/>
          </w:tcPr>
          <w:p w14:paraId="06562475">
            <w:pPr>
              <w:rPr>
                <w:rFonts w:ascii="宋体" w:cs="Times New Roman"/>
                <w:color w:val="auto"/>
                <w:sz w:val="24"/>
                <w:szCs w:val="24"/>
              </w:rPr>
            </w:pPr>
          </w:p>
        </w:tc>
      </w:tr>
      <w:tr w14:paraId="65BD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3BB1D32">
            <w:pPr>
              <w:jc w:val="center"/>
              <w:rPr>
                <w:rFonts w:ascii="宋体" w:cs="Times New Roman"/>
                <w:color w:val="auto"/>
                <w:sz w:val="24"/>
                <w:szCs w:val="24"/>
              </w:rPr>
            </w:pPr>
          </w:p>
        </w:tc>
        <w:tc>
          <w:tcPr>
            <w:tcW w:w="920" w:type="dxa"/>
            <w:noWrap w:val="0"/>
            <w:vAlign w:val="center"/>
          </w:tcPr>
          <w:p w14:paraId="6C59887F">
            <w:pPr>
              <w:jc w:val="center"/>
              <w:rPr>
                <w:rFonts w:ascii="宋体" w:cs="Times New Roman"/>
                <w:color w:val="auto"/>
                <w:sz w:val="24"/>
                <w:szCs w:val="24"/>
              </w:rPr>
            </w:pPr>
            <w:r>
              <w:rPr>
                <w:rFonts w:ascii="宋体" w:hAnsi="宋体" w:cs="宋体"/>
                <w:color w:val="auto"/>
                <w:sz w:val="24"/>
                <w:szCs w:val="24"/>
              </w:rPr>
              <w:t>2</w:t>
            </w:r>
          </w:p>
        </w:tc>
        <w:tc>
          <w:tcPr>
            <w:tcW w:w="5697" w:type="dxa"/>
            <w:noWrap w:val="0"/>
            <w:vAlign w:val="top"/>
          </w:tcPr>
          <w:p w14:paraId="475B60FA">
            <w:pPr>
              <w:rPr>
                <w:rFonts w:ascii="宋体" w:cs="Times New Roman"/>
                <w:color w:val="auto"/>
                <w:sz w:val="24"/>
                <w:szCs w:val="24"/>
              </w:rPr>
            </w:pPr>
            <w:r>
              <w:rPr>
                <w:rFonts w:hint="eastAsia" w:ascii="宋体" w:hAnsi="宋体" w:cs="宋体"/>
                <w:color w:val="auto"/>
                <w:sz w:val="24"/>
                <w:szCs w:val="24"/>
              </w:rPr>
              <w:t>未按合同约定时限，根据市场价格变化调整价格的，扣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18C27DCB">
            <w:pPr>
              <w:rPr>
                <w:rFonts w:ascii="宋体" w:cs="Times New Roman"/>
                <w:color w:val="auto"/>
                <w:sz w:val="24"/>
                <w:szCs w:val="24"/>
              </w:rPr>
            </w:pPr>
          </w:p>
        </w:tc>
        <w:tc>
          <w:tcPr>
            <w:tcW w:w="900" w:type="dxa"/>
            <w:noWrap w:val="0"/>
            <w:vAlign w:val="top"/>
          </w:tcPr>
          <w:p w14:paraId="0DC08DA5">
            <w:pPr>
              <w:rPr>
                <w:rFonts w:ascii="宋体" w:cs="Times New Roman"/>
                <w:color w:val="auto"/>
                <w:sz w:val="24"/>
                <w:szCs w:val="24"/>
              </w:rPr>
            </w:pPr>
          </w:p>
        </w:tc>
      </w:tr>
      <w:tr w14:paraId="4883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0F68DDF1">
            <w:pPr>
              <w:jc w:val="center"/>
              <w:rPr>
                <w:rFonts w:ascii="宋体" w:cs="Times New Roman"/>
                <w:color w:val="auto"/>
                <w:sz w:val="24"/>
                <w:szCs w:val="24"/>
              </w:rPr>
            </w:pPr>
            <w:r>
              <w:rPr>
                <w:rFonts w:hint="eastAsia" w:ascii="宋体" w:hAnsi="宋体" w:cs="宋体"/>
                <w:color w:val="auto"/>
                <w:sz w:val="24"/>
                <w:szCs w:val="24"/>
              </w:rPr>
              <w:t>交货</w:t>
            </w:r>
          </w:p>
        </w:tc>
        <w:tc>
          <w:tcPr>
            <w:tcW w:w="920" w:type="dxa"/>
            <w:noWrap w:val="0"/>
            <w:vAlign w:val="center"/>
          </w:tcPr>
          <w:p w14:paraId="7B2494D8">
            <w:pPr>
              <w:jc w:val="center"/>
              <w:rPr>
                <w:rFonts w:ascii="宋体" w:cs="Times New Roman"/>
                <w:color w:val="auto"/>
                <w:sz w:val="24"/>
                <w:szCs w:val="24"/>
              </w:rPr>
            </w:pPr>
            <w:r>
              <w:rPr>
                <w:rFonts w:ascii="宋体" w:hAnsi="宋体" w:cs="宋体"/>
                <w:color w:val="auto"/>
                <w:sz w:val="24"/>
                <w:szCs w:val="24"/>
              </w:rPr>
              <w:t>3</w:t>
            </w:r>
          </w:p>
        </w:tc>
        <w:tc>
          <w:tcPr>
            <w:tcW w:w="5697" w:type="dxa"/>
            <w:noWrap w:val="0"/>
            <w:vAlign w:val="top"/>
          </w:tcPr>
          <w:p w14:paraId="5F5DADE6">
            <w:pPr>
              <w:rPr>
                <w:rFonts w:ascii="宋体" w:cs="Times New Roman"/>
                <w:color w:val="auto"/>
                <w:sz w:val="24"/>
                <w:szCs w:val="24"/>
              </w:rPr>
            </w:pPr>
            <w:r>
              <w:rPr>
                <w:rFonts w:hint="eastAsia" w:ascii="宋体" w:hAnsi="宋体" w:cs="宋体"/>
                <w:color w:val="auto"/>
                <w:sz w:val="24"/>
                <w:szCs w:val="24"/>
              </w:rPr>
              <w:t>违反招投标文件和合同的规定，擅自更改供应货物品牌、规格和质量的，每项次扣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35A905D1">
            <w:pPr>
              <w:rPr>
                <w:rFonts w:ascii="宋体" w:cs="Times New Roman"/>
                <w:color w:val="auto"/>
                <w:sz w:val="24"/>
                <w:szCs w:val="24"/>
              </w:rPr>
            </w:pPr>
          </w:p>
        </w:tc>
        <w:tc>
          <w:tcPr>
            <w:tcW w:w="900" w:type="dxa"/>
            <w:noWrap w:val="0"/>
            <w:vAlign w:val="top"/>
          </w:tcPr>
          <w:p w14:paraId="54A6C619">
            <w:pPr>
              <w:rPr>
                <w:rFonts w:ascii="宋体" w:cs="Times New Roman"/>
                <w:color w:val="auto"/>
                <w:sz w:val="24"/>
                <w:szCs w:val="24"/>
              </w:rPr>
            </w:pPr>
          </w:p>
        </w:tc>
      </w:tr>
      <w:tr w14:paraId="0A11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22184BAB">
            <w:pPr>
              <w:jc w:val="center"/>
              <w:rPr>
                <w:rFonts w:ascii="宋体" w:cs="Times New Roman"/>
                <w:color w:val="auto"/>
                <w:sz w:val="24"/>
                <w:szCs w:val="24"/>
              </w:rPr>
            </w:pPr>
          </w:p>
        </w:tc>
        <w:tc>
          <w:tcPr>
            <w:tcW w:w="920" w:type="dxa"/>
            <w:noWrap w:val="0"/>
            <w:vAlign w:val="center"/>
          </w:tcPr>
          <w:p w14:paraId="4542EE7E">
            <w:pPr>
              <w:jc w:val="center"/>
              <w:rPr>
                <w:rFonts w:ascii="宋体" w:cs="Times New Roman"/>
                <w:color w:val="auto"/>
                <w:sz w:val="24"/>
                <w:szCs w:val="24"/>
              </w:rPr>
            </w:pPr>
            <w:r>
              <w:rPr>
                <w:rFonts w:ascii="宋体" w:hAnsi="宋体" w:cs="宋体"/>
                <w:color w:val="auto"/>
                <w:sz w:val="24"/>
                <w:szCs w:val="24"/>
              </w:rPr>
              <w:t>4</w:t>
            </w:r>
          </w:p>
        </w:tc>
        <w:tc>
          <w:tcPr>
            <w:tcW w:w="5697" w:type="dxa"/>
            <w:noWrap w:val="0"/>
            <w:vAlign w:val="top"/>
          </w:tcPr>
          <w:p w14:paraId="34F460D3">
            <w:pPr>
              <w:rPr>
                <w:rFonts w:ascii="宋体" w:cs="Times New Roman"/>
                <w:color w:val="auto"/>
                <w:sz w:val="24"/>
                <w:szCs w:val="24"/>
              </w:rPr>
            </w:pPr>
            <w:r>
              <w:rPr>
                <w:rFonts w:hint="eastAsia" w:ascii="宋体" w:hAnsi="宋体" w:cs="宋体"/>
                <w:color w:val="auto"/>
                <w:sz w:val="24"/>
                <w:szCs w:val="24"/>
              </w:rPr>
              <w:t>未按采购人采购计划的品种、数量、时间供货的，每发生一次扣</w:t>
            </w:r>
            <w:r>
              <w:rPr>
                <w:rFonts w:ascii="宋体" w:hAnsi="宋体" w:cs="宋体"/>
                <w:color w:val="auto"/>
                <w:sz w:val="24"/>
                <w:szCs w:val="24"/>
              </w:rPr>
              <w:t>5</w:t>
            </w:r>
            <w:r>
              <w:rPr>
                <w:rFonts w:hint="eastAsia" w:ascii="宋体" w:hAnsi="宋体" w:cs="宋体"/>
                <w:color w:val="auto"/>
                <w:sz w:val="24"/>
                <w:szCs w:val="24"/>
              </w:rPr>
              <w:t>分并警告一次；</w:t>
            </w:r>
          </w:p>
        </w:tc>
        <w:tc>
          <w:tcPr>
            <w:tcW w:w="857" w:type="dxa"/>
            <w:noWrap w:val="0"/>
            <w:vAlign w:val="top"/>
          </w:tcPr>
          <w:p w14:paraId="66F8D176">
            <w:pPr>
              <w:rPr>
                <w:rFonts w:ascii="宋体" w:cs="Times New Roman"/>
                <w:color w:val="auto"/>
                <w:sz w:val="24"/>
                <w:szCs w:val="24"/>
              </w:rPr>
            </w:pPr>
          </w:p>
        </w:tc>
        <w:tc>
          <w:tcPr>
            <w:tcW w:w="900" w:type="dxa"/>
            <w:noWrap w:val="0"/>
            <w:vAlign w:val="top"/>
          </w:tcPr>
          <w:p w14:paraId="12CB3E83">
            <w:pPr>
              <w:rPr>
                <w:rFonts w:ascii="宋体" w:cs="Times New Roman"/>
                <w:color w:val="auto"/>
                <w:sz w:val="24"/>
                <w:szCs w:val="24"/>
              </w:rPr>
            </w:pPr>
          </w:p>
        </w:tc>
      </w:tr>
      <w:tr w14:paraId="3220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239D97D7">
            <w:pPr>
              <w:jc w:val="center"/>
              <w:rPr>
                <w:rFonts w:ascii="宋体" w:cs="Times New Roman"/>
                <w:color w:val="auto"/>
                <w:sz w:val="24"/>
                <w:szCs w:val="24"/>
              </w:rPr>
            </w:pPr>
          </w:p>
        </w:tc>
        <w:tc>
          <w:tcPr>
            <w:tcW w:w="920" w:type="dxa"/>
            <w:noWrap w:val="0"/>
            <w:vAlign w:val="center"/>
          </w:tcPr>
          <w:p w14:paraId="1DB73AA8">
            <w:pPr>
              <w:jc w:val="center"/>
              <w:rPr>
                <w:rFonts w:ascii="宋体" w:cs="Times New Roman"/>
                <w:color w:val="auto"/>
                <w:sz w:val="24"/>
                <w:szCs w:val="24"/>
              </w:rPr>
            </w:pPr>
            <w:r>
              <w:rPr>
                <w:rFonts w:ascii="宋体" w:hAnsi="宋体" w:cs="宋体"/>
                <w:color w:val="auto"/>
                <w:sz w:val="24"/>
                <w:szCs w:val="24"/>
              </w:rPr>
              <w:t>5</w:t>
            </w:r>
          </w:p>
        </w:tc>
        <w:tc>
          <w:tcPr>
            <w:tcW w:w="5697" w:type="dxa"/>
            <w:noWrap w:val="0"/>
            <w:vAlign w:val="top"/>
          </w:tcPr>
          <w:p w14:paraId="1A8A6ED8">
            <w:pPr>
              <w:rPr>
                <w:rFonts w:ascii="宋体" w:cs="Times New Roman"/>
                <w:color w:val="auto"/>
                <w:sz w:val="24"/>
                <w:szCs w:val="24"/>
              </w:rPr>
            </w:pPr>
            <w:r>
              <w:rPr>
                <w:rFonts w:hint="eastAsia" w:ascii="宋体" w:hAnsi="宋体" w:cs="宋体"/>
                <w:color w:val="auto"/>
                <w:sz w:val="24"/>
                <w:szCs w:val="24"/>
              </w:rPr>
              <w:t>违反招投标文件和合同的规定，擅自更改运送人员的，每次扣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7170FA56">
            <w:pPr>
              <w:rPr>
                <w:rFonts w:ascii="宋体" w:cs="Times New Roman"/>
                <w:color w:val="auto"/>
                <w:sz w:val="24"/>
                <w:szCs w:val="24"/>
              </w:rPr>
            </w:pPr>
          </w:p>
        </w:tc>
        <w:tc>
          <w:tcPr>
            <w:tcW w:w="900" w:type="dxa"/>
            <w:noWrap w:val="0"/>
            <w:vAlign w:val="top"/>
          </w:tcPr>
          <w:p w14:paraId="02B03879">
            <w:pPr>
              <w:rPr>
                <w:rFonts w:ascii="宋体" w:cs="Times New Roman"/>
                <w:color w:val="auto"/>
                <w:sz w:val="24"/>
                <w:szCs w:val="24"/>
              </w:rPr>
            </w:pPr>
          </w:p>
        </w:tc>
      </w:tr>
      <w:tr w14:paraId="6CA5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3378413A">
            <w:pPr>
              <w:jc w:val="center"/>
              <w:rPr>
                <w:rFonts w:ascii="宋体" w:cs="Times New Roman"/>
                <w:color w:val="auto"/>
                <w:sz w:val="24"/>
                <w:szCs w:val="24"/>
              </w:rPr>
            </w:pPr>
          </w:p>
        </w:tc>
        <w:tc>
          <w:tcPr>
            <w:tcW w:w="920" w:type="dxa"/>
            <w:noWrap w:val="0"/>
            <w:vAlign w:val="center"/>
          </w:tcPr>
          <w:p w14:paraId="6B2F4A63">
            <w:pPr>
              <w:jc w:val="center"/>
              <w:rPr>
                <w:rFonts w:ascii="宋体" w:cs="Times New Roman"/>
                <w:color w:val="auto"/>
                <w:sz w:val="24"/>
                <w:szCs w:val="24"/>
              </w:rPr>
            </w:pPr>
            <w:r>
              <w:rPr>
                <w:rFonts w:ascii="宋体" w:hAnsi="宋体" w:cs="宋体"/>
                <w:color w:val="auto"/>
                <w:sz w:val="24"/>
                <w:szCs w:val="24"/>
              </w:rPr>
              <w:t>6</w:t>
            </w:r>
          </w:p>
        </w:tc>
        <w:tc>
          <w:tcPr>
            <w:tcW w:w="5697" w:type="dxa"/>
            <w:noWrap w:val="0"/>
            <w:vAlign w:val="top"/>
          </w:tcPr>
          <w:p w14:paraId="4031E1E0">
            <w:pPr>
              <w:rPr>
                <w:rFonts w:ascii="宋体" w:cs="Times New Roman"/>
                <w:color w:val="auto"/>
                <w:sz w:val="24"/>
                <w:szCs w:val="24"/>
              </w:rPr>
            </w:pPr>
            <w:r>
              <w:rPr>
                <w:rFonts w:hint="eastAsia" w:ascii="宋体" w:hAnsi="宋体" w:cs="宋体"/>
                <w:color w:val="auto"/>
                <w:sz w:val="24"/>
                <w:szCs w:val="24"/>
              </w:rPr>
              <w:t>提供虚假检验报告等相关票证的，每发现一项次扣</w:t>
            </w:r>
            <w:r>
              <w:rPr>
                <w:rFonts w:ascii="宋体" w:hAnsi="宋体" w:cs="宋体"/>
                <w:color w:val="auto"/>
                <w:sz w:val="24"/>
                <w:szCs w:val="24"/>
              </w:rPr>
              <w:t>30</w:t>
            </w:r>
            <w:r>
              <w:rPr>
                <w:rFonts w:hint="eastAsia" w:ascii="宋体" w:hAnsi="宋体" w:cs="宋体"/>
                <w:color w:val="auto"/>
                <w:sz w:val="24"/>
                <w:szCs w:val="24"/>
              </w:rPr>
              <w:t>分；</w:t>
            </w:r>
          </w:p>
        </w:tc>
        <w:tc>
          <w:tcPr>
            <w:tcW w:w="857" w:type="dxa"/>
            <w:noWrap w:val="0"/>
            <w:vAlign w:val="top"/>
          </w:tcPr>
          <w:p w14:paraId="390D6164">
            <w:pPr>
              <w:rPr>
                <w:rFonts w:ascii="宋体" w:cs="Times New Roman"/>
                <w:color w:val="auto"/>
                <w:sz w:val="24"/>
                <w:szCs w:val="24"/>
              </w:rPr>
            </w:pPr>
          </w:p>
        </w:tc>
        <w:tc>
          <w:tcPr>
            <w:tcW w:w="900" w:type="dxa"/>
            <w:noWrap w:val="0"/>
            <w:vAlign w:val="top"/>
          </w:tcPr>
          <w:p w14:paraId="2F4BA761">
            <w:pPr>
              <w:rPr>
                <w:rFonts w:ascii="宋体" w:cs="Times New Roman"/>
                <w:color w:val="auto"/>
                <w:sz w:val="24"/>
                <w:szCs w:val="24"/>
              </w:rPr>
            </w:pPr>
          </w:p>
        </w:tc>
      </w:tr>
      <w:tr w14:paraId="47A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1996E594">
            <w:pPr>
              <w:jc w:val="center"/>
              <w:rPr>
                <w:rFonts w:ascii="宋体" w:cs="Times New Roman"/>
                <w:color w:val="auto"/>
                <w:sz w:val="24"/>
                <w:szCs w:val="24"/>
              </w:rPr>
            </w:pPr>
          </w:p>
        </w:tc>
        <w:tc>
          <w:tcPr>
            <w:tcW w:w="920" w:type="dxa"/>
            <w:noWrap w:val="0"/>
            <w:vAlign w:val="center"/>
          </w:tcPr>
          <w:p w14:paraId="76B14527">
            <w:pPr>
              <w:jc w:val="center"/>
              <w:rPr>
                <w:rFonts w:ascii="宋体" w:cs="Times New Roman"/>
                <w:color w:val="auto"/>
                <w:sz w:val="24"/>
                <w:szCs w:val="24"/>
              </w:rPr>
            </w:pPr>
            <w:r>
              <w:rPr>
                <w:rFonts w:ascii="宋体" w:hAnsi="宋体" w:cs="宋体"/>
                <w:color w:val="auto"/>
                <w:sz w:val="24"/>
                <w:szCs w:val="24"/>
              </w:rPr>
              <w:t>7</w:t>
            </w:r>
          </w:p>
        </w:tc>
        <w:tc>
          <w:tcPr>
            <w:tcW w:w="5697" w:type="dxa"/>
            <w:noWrap w:val="0"/>
            <w:vAlign w:val="top"/>
          </w:tcPr>
          <w:p w14:paraId="4CF37A48">
            <w:pPr>
              <w:rPr>
                <w:rFonts w:ascii="宋体" w:cs="Times New Roman"/>
                <w:color w:val="auto"/>
                <w:sz w:val="24"/>
                <w:szCs w:val="24"/>
              </w:rPr>
            </w:pPr>
            <w:r>
              <w:rPr>
                <w:rFonts w:hint="eastAsia" w:ascii="宋体" w:hAnsi="宋体" w:cs="宋体"/>
                <w:color w:val="auto"/>
                <w:sz w:val="24"/>
                <w:szCs w:val="24"/>
              </w:rPr>
              <w:t>未及时按要求随货提供相关票证的，每项次扣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69F9288C">
            <w:pPr>
              <w:rPr>
                <w:rFonts w:ascii="宋体" w:cs="Times New Roman"/>
                <w:color w:val="auto"/>
                <w:sz w:val="24"/>
                <w:szCs w:val="24"/>
              </w:rPr>
            </w:pPr>
          </w:p>
        </w:tc>
        <w:tc>
          <w:tcPr>
            <w:tcW w:w="900" w:type="dxa"/>
            <w:noWrap w:val="0"/>
            <w:vAlign w:val="top"/>
          </w:tcPr>
          <w:p w14:paraId="45B2D1CA">
            <w:pPr>
              <w:rPr>
                <w:rFonts w:ascii="宋体" w:cs="Times New Roman"/>
                <w:color w:val="auto"/>
                <w:sz w:val="24"/>
                <w:szCs w:val="24"/>
              </w:rPr>
            </w:pPr>
          </w:p>
        </w:tc>
      </w:tr>
      <w:tr w14:paraId="1394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109EC56D">
            <w:pPr>
              <w:jc w:val="center"/>
              <w:rPr>
                <w:rFonts w:ascii="宋体" w:cs="Times New Roman"/>
                <w:color w:val="auto"/>
                <w:sz w:val="24"/>
                <w:szCs w:val="24"/>
              </w:rPr>
            </w:pPr>
          </w:p>
        </w:tc>
        <w:tc>
          <w:tcPr>
            <w:tcW w:w="920" w:type="dxa"/>
            <w:noWrap w:val="0"/>
            <w:vAlign w:val="center"/>
          </w:tcPr>
          <w:p w14:paraId="61E7C50F">
            <w:pPr>
              <w:jc w:val="center"/>
              <w:rPr>
                <w:rFonts w:ascii="宋体" w:cs="Times New Roman"/>
                <w:color w:val="auto"/>
                <w:sz w:val="24"/>
                <w:szCs w:val="24"/>
              </w:rPr>
            </w:pPr>
            <w:r>
              <w:rPr>
                <w:rFonts w:ascii="宋体" w:hAnsi="宋体" w:cs="宋体"/>
                <w:color w:val="auto"/>
                <w:sz w:val="24"/>
                <w:szCs w:val="24"/>
              </w:rPr>
              <w:t>8</w:t>
            </w:r>
          </w:p>
        </w:tc>
        <w:tc>
          <w:tcPr>
            <w:tcW w:w="5697" w:type="dxa"/>
            <w:noWrap w:val="0"/>
            <w:vAlign w:val="top"/>
          </w:tcPr>
          <w:p w14:paraId="526DB421">
            <w:pPr>
              <w:rPr>
                <w:rFonts w:ascii="宋体" w:cs="Times New Roman"/>
                <w:color w:val="auto"/>
                <w:sz w:val="24"/>
                <w:szCs w:val="24"/>
              </w:rPr>
            </w:pPr>
            <w:r>
              <w:rPr>
                <w:rFonts w:hint="eastAsia" w:ascii="宋体" w:hAnsi="宋体" w:cs="宋体"/>
                <w:color w:val="auto"/>
                <w:sz w:val="24"/>
                <w:szCs w:val="24"/>
              </w:rPr>
              <w:t>未按采购人指定秩序卸货的，每次扣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5F40B240">
            <w:pPr>
              <w:rPr>
                <w:rFonts w:ascii="宋体" w:cs="Times New Roman"/>
                <w:color w:val="auto"/>
                <w:sz w:val="24"/>
                <w:szCs w:val="24"/>
              </w:rPr>
            </w:pPr>
          </w:p>
        </w:tc>
        <w:tc>
          <w:tcPr>
            <w:tcW w:w="900" w:type="dxa"/>
            <w:noWrap w:val="0"/>
            <w:vAlign w:val="top"/>
          </w:tcPr>
          <w:p w14:paraId="6BE24CAD">
            <w:pPr>
              <w:rPr>
                <w:rFonts w:ascii="宋体" w:cs="Times New Roman"/>
                <w:color w:val="auto"/>
                <w:sz w:val="24"/>
                <w:szCs w:val="24"/>
              </w:rPr>
            </w:pPr>
          </w:p>
        </w:tc>
      </w:tr>
      <w:tr w14:paraId="65A9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ADCE7DE">
            <w:pPr>
              <w:jc w:val="center"/>
              <w:rPr>
                <w:rFonts w:ascii="宋体" w:cs="Times New Roman"/>
                <w:color w:val="auto"/>
                <w:sz w:val="24"/>
                <w:szCs w:val="24"/>
              </w:rPr>
            </w:pPr>
          </w:p>
        </w:tc>
        <w:tc>
          <w:tcPr>
            <w:tcW w:w="920" w:type="dxa"/>
            <w:noWrap w:val="0"/>
            <w:vAlign w:val="center"/>
          </w:tcPr>
          <w:p w14:paraId="0D98C884">
            <w:pPr>
              <w:jc w:val="center"/>
              <w:rPr>
                <w:rFonts w:ascii="宋体" w:cs="Times New Roman"/>
                <w:color w:val="auto"/>
                <w:sz w:val="24"/>
                <w:szCs w:val="24"/>
              </w:rPr>
            </w:pPr>
            <w:r>
              <w:rPr>
                <w:rFonts w:ascii="宋体" w:hAnsi="宋体" w:cs="宋体"/>
                <w:color w:val="auto"/>
                <w:sz w:val="24"/>
                <w:szCs w:val="24"/>
              </w:rPr>
              <w:t>9</w:t>
            </w:r>
          </w:p>
        </w:tc>
        <w:tc>
          <w:tcPr>
            <w:tcW w:w="5697" w:type="dxa"/>
            <w:noWrap w:val="0"/>
            <w:vAlign w:val="top"/>
          </w:tcPr>
          <w:p w14:paraId="3C9C9258">
            <w:pPr>
              <w:rPr>
                <w:rFonts w:hint="eastAsia" w:ascii="宋体" w:eastAsia="宋体" w:cs="Times New Roman"/>
                <w:color w:val="auto"/>
                <w:sz w:val="24"/>
                <w:szCs w:val="24"/>
                <w:lang w:eastAsia="zh-CN"/>
              </w:rPr>
            </w:pPr>
            <w:r>
              <w:rPr>
                <w:rFonts w:hint="eastAsia" w:ascii="宋体" w:hAnsi="宋体" w:cs="宋体"/>
                <w:color w:val="auto"/>
                <w:sz w:val="24"/>
                <w:szCs w:val="24"/>
              </w:rPr>
              <w:t>发生退货情况，造成采购人伙食无法按时供应的，每发生一次扣</w:t>
            </w:r>
            <w:r>
              <w:rPr>
                <w:rFonts w:ascii="宋体" w:hAnsi="宋体" w:cs="宋体"/>
                <w:color w:val="auto"/>
                <w:sz w:val="24"/>
                <w:szCs w:val="24"/>
              </w:rPr>
              <w:t>30</w:t>
            </w:r>
            <w:r>
              <w:rPr>
                <w:rFonts w:hint="eastAsia" w:ascii="宋体" w:hAnsi="宋体" w:cs="宋体"/>
                <w:color w:val="auto"/>
                <w:sz w:val="24"/>
                <w:szCs w:val="24"/>
              </w:rPr>
              <w:t>分</w:t>
            </w:r>
            <w:r>
              <w:rPr>
                <w:rFonts w:hint="eastAsia" w:ascii="宋体" w:hAnsi="宋体" w:cs="宋体"/>
                <w:color w:val="auto"/>
                <w:sz w:val="24"/>
                <w:szCs w:val="24"/>
                <w:lang w:eastAsia="zh-CN"/>
              </w:rPr>
              <w:t>；</w:t>
            </w:r>
          </w:p>
        </w:tc>
        <w:tc>
          <w:tcPr>
            <w:tcW w:w="857" w:type="dxa"/>
            <w:noWrap w:val="0"/>
            <w:vAlign w:val="top"/>
          </w:tcPr>
          <w:p w14:paraId="6B84E69E">
            <w:pPr>
              <w:rPr>
                <w:rFonts w:ascii="宋体" w:cs="Times New Roman"/>
                <w:color w:val="auto"/>
                <w:sz w:val="24"/>
                <w:szCs w:val="24"/>
              </w:rPr>
            </w:pPr>
          </w:p>
        </w:tc>
        <w:tc>
          <w:tcPr>
            <w:tcW w:w="900" w:type="dxa"/>
            <w:noWrap w:val="0"/>
            <w:vAlign w:val="top"/>
          </w:tcPr>
          <w:p w14:paraId="1D513A66">
            <w:pPr>
              <w:rPr>
                <w:rFonts w:ascii="宋体" w:cs="Times New Roman"/>
                <w:color w:val="auto"/>
                <w:sz w:val="24"/>
                <w:szCs w:val="24"/>
              </w:rPr>
            </w:pPr>
          </w:p>
        </w:tc>
      </w:tr>
      <w:tr w14:paraId="65DA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00177C2C">
            <w:pPr>
              <w:jc w:val="center"/>
              <w:rPr>
                <w:rFonts w:ascii="宋体" w:cs="Times New Roman"/>
                <w:color w:val="auto"/>
                <w:sz w:val="24"/>
                <w:szCs w:val="24"/>
              </w:rPr>
            </w:pPr>
            <w:r>
              <w:rPr>
                <w:rFonts w:hint="eastAsia" w:ascii="宋体" w:hAnsi="宋体" w:cs="宋体"/>
                <w:color w:val="auto"/>
                <w:sz w:val="24"/>
                <w:szCs w:val="24"/>
              </w:rPr>
              <w:t>质量</w:t>
            </w:r>
          </w:p>
        </w:tc>
        <w:tc>
          <w:tcPr>
            <w:tcW w:w="920" w:type="dxa"/>
            <w:noWrap w:val="0"/>
            <w:vAlign w:val="center"/>
          </w:tcPr>
          <w:p w14:paraId="4A08C432">
            <w:pPr>
              <w:jc w:val="center"/>
              <w:rPr>
                <w:rFonts w:ascii="宋体" w:cs="Times New Roman"/>
                <w:color w:val="auto"/>
                <w:sz w:val="24"/>
                <w:szCs w:val="24"/>
              </w:rPr>
            </w:pPr>
            <w:r>
              <w:rPr>
                <w:rFonts w:ascii="宋体" w:hAnsi="宋体" w:cs="宋体"/>
                <w:color w:val="auto"/>
                <w:sz w:val="24"/>
                <w:szCs w:val="24"/>
              </w:rPr>
              <w:t>10</w:t>
            </w:r>
          </w:p>
        </w:tc>
        <w:tc>
          <w:tcPr>
            <w:tcW w:w="5697" w:type="dxa"/>
            <w:noWrap w:val="0"/>
            <w:vAlign w:val="top"/>
          </w:tcPr>
          <w:p w14:paraId="04DB9DDB">
            <w:pPr>
              <w:rPr>
                <w:rFonts w:ascii="宋体" w:cs="Times New Roman"/>
                <w:color w:val="auto"/>
                <w:sz w:val="24"/>
                <w:szCs w:val="24"/>
              </w:rPr>
            </w:pPr>
            <w:r>
              <w:rPr>
                <w:rFonts w:hint="eastAsia" w:ascii="宋体" w:hAnsi="宋体" w:cs="宋体"/>
                <w:color w:val="auto"/>
                <w:sz w:val="24"/>
                <w:szCs w:val="24"/>
              </w:rPr>
              <w:t>同一品种货物一次（含本数）以上发现质量不合格产品的，扣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24B5A2A0">
            <w:pPr>
              <w:rPr>
                <w:rFonts w:ascii="宋体" w:cs="Times New Roman"/>
                <w:color w:val="auto"/>
                <w:sz w:val="24"/>
                <w:szCs w:val="24"/>
              </w:rPr>
            </w:pPr>
          </w:p>
        </w:tc>
        <w:tc>
          <w:tcPr>
            <w:tcW w:w="900" w:type="dxa"/>
            <w:noWrap w:val="0"/>
            <w:vAlign w:val="top"/>
          </w:tcPr>
          <w:p w14:paraId="7FE5EFB8">
            <w:pPr>
              <w:rPr>
                <w:rFonts w:ascii="宋体" w:cs="Times New Roman"/>
                <w:color w:val="auto"/>
                <w:sz w:val="24"/>
                <w:szCs w:val="24"/>
              </w:rPr>
            </w:pPr>
          </w:p>
        </w:tc>
      </w:tr>
      <w:tr w14:paraId="2F91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57F2F63E">
            <w:pPr>
              <w:jc w:val="center"/>
              <w:rPr>
                <w:rFonts w:ascii="宋体" w:cs="Times New Roman"/>
                <w:color w:val="auto"/>
                <w:sz w:val="24"/>
                <w:szCs w:val="24"/>
              </w:rPr>
            </w:pPr>
          </w:p>
        </w:tc>
        <w:tc>
          <w:tcPr>
            <w:tcW w:w="920" w:type="dxa"/>
            <w:noWrap w:val="0"/>
            <w:vAlign w:val="center"/>
          </w:tcPr>
          <w:p w14:paraId="77DF875F">
            <w:pPr>
              <w:jc w:val="center"/>
              <w:rPr>
                <w:rFonts w:ascii="宋体" w:cs="Times New Roman"/>
                <w:color w:val="auto"/>
                <w:sz w:val="24"/>
                <w:szCs w:val="24"/>
              </w:rPr>
            </w:pPr>
            <w:r>
              <w:rPr>
                <w:rFonts w:ascii="宋体" w:hAnsi="宋体" w:cs="宋体"/>
                <w:color w:val="auto"/>
                <w:sz w:val="24"/>
                <w:szCs w:val="24"/>
              </w:rPr>
              <w:t>11</w:t>
            </w:r>
          </w:p>
        </w:tc>
        <w:tc>
          <w:tcPr>
            <w:tcW w:w="5697" w:type="dxa"/>
            <w:noWrap w:val="0"/>
            <w:vAlign w:val="top"/>
          </w:tcPr>
          <w:p w14:paraId="1595C8FF">
            <w:pPr>
              <w:rPr>
                <w:rFonts w:ascii="宋体" w:cs="Times New Roman"/>
                <w:color w:val="auto"/>
                <w:sz w:val="24"/>
                <w:szCs w:val="24"/>
              </w:rPr>
            </w:pPr>
            <w:r>
              <w:rPr>
                <w:rFonts w:hint="eastAsia" w:ascii="宋体" w:hAnsi="宋体" w:cs="宋体"/>
                <w:color w:val="auto"/>
                <w:sz w:val="24"/>
                <w:szCs w:val="24"/>
              </w:rPr>
              <w:t>产品验收不合格，每拒收一批次扣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05880849">
            <w:pPr>
              <w:rPr>
                <w:rFonts w:ascii="宋体" w:cs="Times New Roman"/>
                <w:color w:val="auto"/>
                <w:sz w:val="24"/>
                <w:szCs w:val="24"/>
              </w:rPr>
            </w:pPr>
          </w:p>
        </w:tc>
        <w:tc>
          <w:tcPr>
            <w:tcW w:w="900" w:type="dxa"/>
            <w:noWrap w:val="0"/>
            <w:vAlign w:val="top"/>
          </w:tcPr>
          <w:p w14:paraId="721EC22B">
            <w:pPr>
              <w:rPr>
                <w:rFonts w:ascii="宋体" w:cs="Times New Roman"/>
                <w:color w:val="auto"/>
                <w:sz w:val="24"/>
                <w:szCs w:val="24"/>
              </w:rPr>
            </w:pPr>
          </w:p>
        </w:tc>
      </w:tr>
      <w:tr w14:paraId="3BB1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6D852D08">
            <w:pPr>
              <w:jc w:val="center"/>
              <w:rPr>
                <w:rFonts w:ascii="宋体" w:cs="Times New Roman"/>
                <w:color w:val="auto"/>
                <w:sz w:val="24"/>
                <w:szCs w:val="24"/>
              </w:rPr>
            </w:pPr>
          </w:p>
        </w:tc>
        <w:tc>
          <w:tcPr>
            <w:tcW w:w="920" w:type="dxa"/>
            <w:noWrap w:val="0"/>
            <w:vAlign w:val="center"/>
          </w:tcPr>
          <w:p w14:paraId="2A36E698">
            <w:pPr>
              <w:jc w:val="center"/>
              <w:rPr>
                <w:rFonts w:ascii="宋体" w:cs="Times New Roman"/>
                <w:color w:val="auto"/>
                <w:sz w:val="24"/>
                <w:szCs w:val="24"/>
              </w:rPr>
            </w:pPr>
            <w:r>
              <w:rPr>
                <w:rFonts w:ascii="宋体" w:hAnsi="宋体" w:cs="宋体"/>
                <w:color w:val="auto"/>
                <w:sz w:val="24"/>
                <w:szCs w:val="24"/>
              </w:rPr>
              <w:t>12</w:t>
            </w:r>
          </w:p>
        </w:tc>
        <w:tc>
          <w:tcPr>
            <w:tcW w:w="5697" w:type="dxa"/>
            <w:noWrap w:val="0"/>
            <w:vAlign w:val="top"/>
          </w:tcPr>
          <w:p w14:paraId="12749932">
            <w:pPr>
              <w:rPr>
                <w:rFonts w:ascii="宋体" w:cs="Times New Roman"/>
                <w:color w:val="auto"/>
                <w:sz w:val="24"/>
                <w:szCs w:val="24"/>
              </w:rPr>
            </w:pPr>
            <w:r>
              <w:rPr>
                <w:rFonts w:hint="eastAsia" w:ascii="宋体" w:hAnsi="宋体" w:cs="宋体"/>
                <w:color w:val="auto"/>
                <w:sz w:val="24"/>
                <w:szCs w:val="24"/>
              </w:rPr>
              <w:t>把采购人验收不合格退货的货物重新配送给采购人的，每发现一次扣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3D929069">
            <w:pPr>
              <w:rPr>
                <w:rFonts w:ascii="宋体" w:cs="Times New Roman"/>
                <w:color w:val="auto"/>
                <w:sz w:val="24"/>
                <w:szCs w:val="24"/>
              </w:rPr>
            </w:pPr>
          </w:p>
        </w:tc>
        <w:tc>
          <w:tcPr>
            <w:tcW w:w="900" w:type="dxa"/>
            <w:noWrap w:val="0"/>
            <w:vAlign w:val="top"/>
          </w:tcPr>
          <w:p w14:paraId="63B4E802">
            <w:pPr>
              <w:rPr>
                <w:rFonts w:ascii="宋体" w:cs="Times New Roman"/>
                <w:color w:val="auto"/>
                <w:sz w:val="24"/>
                <w:szCs w:val="24"/>
              </w:rPr>
            </w:pPr>
          </w:p>
        </w:tc>
      </w:tr>
      <w:tr w14:paraId="7DDB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29A5EC38">
            <w:pPr>
              <w:jc w:val="center"/>
              <w:rPr>
                <w:rFonts w:ascii="宋体" w:cs="Times New Roman"/>
                <w:color w:val="auto"/>
                <w:sz w:val="24"/>
                <w:szCs w:val="24"/>
              </w:rPr>
            </w:pPr>
          </w:p>
        </w:tc>
        <w:tc>
          <w:tcPr>
            <w:tcW w:w="920" w:type="dxa"/>
            <w:noWrap w:val="0"/>
            <w:vAlign w:val="center"/>
          </w:tcPr>
          <w:p w14:paraId="767D37FF">
            <w:pPr>
              <w:jc w:val="center"/>
              <w:rPr>
                <w:rFonts w:ascii="宋体" w:cs="Times New Roman"/>
                <w:color w:val="auto"/>
                <w:sz w:val="24"/>
                <w:szCs w:val="24"/>
              </w:rPr>
            </w:pPr>
            <w:r>
              <w:rPr>
                <w:rFonts w:ascii="宋体" w:hAnsi="宋体" w:cs="宋体"/>
                <w:color w:val="auto"/>
                <w:sz w:val="24"/>
                <w:szCs w:val="24"/>
              </w:rPr>
              <w:t>13</w:t>
            </w:r>
          </w:p>
        </w:tc>
        <w:tc>
          <w:tcPr>
            <w:tcW w:w="5697" w:type="dxa"/>
            <w:noWrap w:val="0"/>
            <w:vAlign w:val="top"/>
          </w:tcPr>
          <w:p w14:paraId="26D78D92">
            <w:pPr>
              <w:rPr>
                <w:rFonts w:ascii="宋体" w:cs="Times New Roman"/>
                <w:color w:val="auto"/>
                <w:sz w:val="24"/>
                <w:szCs w:val="24"/>
              </w:rPr>
            </w:pPr>
            <w:r>
              <w:rPr>
                <w:rFonts w:hint="eastAsia" w:ascii="宋体" w:hAnsi="宋体" w:cs="宋体"/>
                <w:color w:val="auto"/>
                <w:sz w:val="24"/>
                <w:szCs w:val="24"/>
              </w:rPr>
              <w:t>中标供应商在包装、运输、装卸等环节不符合食品卫生要求的，每发现一次扣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73C7DC8B">
            <w:pPr>
              <w:rPr>
                <w:rFonts w:ascii="宋体" w:cs="Times New Roman"/>
                <w:color w:val="auto"/>
                <w:sz w:val="24"/>
                <w:szCs w:val="24"/>
              </w:rPr>
            </w:pPr>
          </w:p>
        </w:tc>
        <w:tc>
          <w:tcPr>
            <w:tcW w:w="900" w:type="dxa"/>
            <w:noWrap w:val="0"/>
            <w:vAlign w:val="top"/>
          </w:tcPr>
          <w:p w14:paraId="245D641D">
            <w:pPr>
              <w:rPr>
                <w:rFonts w:ascii="宋体" w:cs="Times New Roman"/>
                <w:color w:val="auto"/>
                <w:sz w:val="24"/>
                <w:szCs w:val="24"/>
              </w:rPr>
            </w:pPr>
          </w:p>
        </w:tc>
      </w:tr>
      <w:tr w14:paraId="0138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15E37CA">
            <w:pPr>
              <w:jc w:val="center"/>
              <w:rPr>
                <w:rFonts w:ascii="宋体" w:cs="Times New Roman"/>
                <w:color w:val="auto"/>
                <w:sz w:val="24"/>
                <w:szCs w:val="24"/>
              </w:rPr>
            </w:pPr>
          </w:p>
        </w:tc>
        <w:tc>
          <w:tcPr>
            <w:tcW w:w="920" w:type="dxa"/>
            <w:noWrap w:val="0"/>
            <w:vAlign w:val="center"/>
          </w:tcPr>
          <w:p w14:paraId="337E1107">
            <w:pPr>
              <w:jc w:val="center"/>
              <w:rPr>
                <w:rFonts w:ascii="宋体" w:cs="Times New Roman"/>
                <w:color w:val="auto"/>
                <w:sz w:val="24"/>
                <w:szCs w:val="24"/>
              </w:rPr>
            </w:pPr>
            <w:r>
              <w:rPr>
                <w:rFonts w:ascii="宋体" w:hAnsi="宋体" w:cs="宋体"/>
                <w:color w:val="auto"/>
                <w:sz w:val="24"/>
                <w:szCs w:val="24"/>
              </w:rPr>
              <w:t>14</w:t>
            </w:r>
          </w:p>
        </w:tc>
        <w:tc>
          <w:tcPr>
            <w:tcW w:w="5697" w:type="dxa"/>
            <w:noWrap w:val="0"/>
            <w:vAlign w:val="top"/>
          </w:tcPr>
          <w:p w14:paraId="6031DBAB">
            <w:pPr>
              <w:rPr>
                <w:rFonts w:ascii="宋体" w:cs="Times New Roman"/>
                <w:color w:val="auto"/>
                <w:sz w:val="24"/>
                <w:szCs w:val="24"/>
              </w:rPr>
            </w:pPr>
            <w:r>
              <w:rPr>
                <w:rFonts w:hint="eastAsia" w:ascii="宋体" w:hAnsi="宋体" w:cs="宋体"/>
                <w:color w:val="auto"/>
                <w:sz w:val="24"/>
                <w:szCs w:val="24"/>
              </w:rPr>
              <w:t>货物出现质量问题，中标供应商不积极配合查找原因，不及时反馈处理结果的，每次扣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6E110295">
            <w:pPr>
              <w:rPr>
                <w:rFonts w:ascii="宋体" w:cs="Times New Roman"/>
                <w:color w:val="auto"/>
                <w:sz w:val="24"/>
                <w:szCs w:val="24"/>
              </w:rPr>
            </w:pPr>
          </w:p>
        </w:tc>
        <w:tc>
          <w:tcPr>
            <w:tcW w:w="900" w:type="dxa"/>
            <w:noWrap w:val="0"/>
            <w:vAlign w:val="top"/>
          </w:tcPr>
          <w:p w14:paraId="35D22FA3">
            <w:pPr>
              <w:rPr>
                <w:rFonts w:ascii="宋体" w:cs="Times New Roman"/>
                <w:color w:val="auto"/>
                <w:sz w:val="24"/>
                <w:szCs w:val="24"/>
              </w:rPr>
            </w:pPr>
          </w:p>
        </w:tc>
      </w:tr>
      <w:tr w14:paraId="389B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4ED1FF60">
            <w:pPr>
              <w:jc w:val="center"/>
              <w:rPr>
                <w:rFonts w:ascii="宋体" w:cs="Times New Roman"/>
                <w:color w:val="auto"/>
                <w:sz w:val="24"/>
                <w:szCs w:val="24"/>
              </w:rPr>
            </w:pPr>
          </w:p>
        </w:tc>
        <w:tc>
          <w:tcPr>
            <w:tcW w:w="920" w:type="dxa"/>
            <w:noWrap w:val="0"/>
            <w:vAlign w:val="center"/>
          </w:tcPr>
          <w:p w14:paraId="566537B7">
            <w:pPr>
              <w:jc w:val="center"/>
              <w:rPr>
                <w:rFonts w:ascii="宋体" w:cs="Times New Roman"/>
                <w:color w:val="auto"/>
                <w:sz w:val="24"/>
                <w:szCs w:val="24"/>
              </w:rPr>
            </w:pPr>
            <w:r>
              <w:rPr>
                <w:rFonts w:ascii="宋体" w:hAnsi="宋体" w:cs="宋体"/>
                <w:color w:val="auto"/>
                <w:sz w:val="24"/>
                <w:szCs w:val="24"/>
              </w:rPr>
              <w:t>15</w:t>
            </w:r>
          </w:p>
        </w:tc>
        <w:tc>
          <w:tcPr>
            <w:tcW w:w="5697" w:type="dxa"/>
            <w:noWrap w:val="0"/>
            <w:vAlign w:val="top"/>
          </w:tcPr>
          <w:p w14:paraId="4EF40E9E">
            <w:pPr>
              <w:rPr>
                <w:rFonts w:ascii="宋体" w:cs="Times New Roman"/>
                <w:color w:val="auto"/>
                <w:sz w:val="24"/>
                <w:szCs w:val="24"/>
              </w:rPr>
            </w:pPr>
            <w:r>
              <w:rPr>
                <w:rFonts w:hint="eastAsia" w:ascii="宋体" w:hAnsi="宋体" w:cs="宋体"/>
                <w:color w:val="auto"/>
                <w:sz w:val="24"/>
                <w:szCs w:val="24"/>
              </w:rPr>
              <w:t>对采购人提出的合理建议未能在约定期限内回复的，每次扣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11D43D90">
            <w:pPr>
              <w:rPr>
                <w:rFonts w:ascii="宋体" w:cs="Times New Roman"/>
                <w:color w:val="auto"/>
                <w:sz w:val="24"/>
                <w:szCs w:val="24"/>
              </w:rPr>
            </w:pPr>
          </w:p>
        </w:tc>
        <w:tc>
          <w:tcPr>
            <w:tcW w:w="900" w:type="dxa"/>
            <w:noWrap w:val="0"/>
            <w:vAlign w:val="top"/>
          </w:tcPr>
          <w:p w14:paraId="3893C721">
            <w:pPr>
              <w:rPr>
                <w:rFonts w:ascii="宋体" w:cs="Times New Roman"/>
                <w:color w:val="auto"/>
                <w:sz w:val="24"/>
                <w:szCs w:val="24"/>
              </w:rPr>
            </w:pPr>
          </w:p>
        </w:tc>
      </w:tr>
      <w:tr w14:paraId="636D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7E33E761">
            <w:pPr>
              <w:jc w:val="center"/>
              <w:rPr>
                <w:rFonts w:ascii="宋体" w:cs="Times New Roman"/>
                <w:color w:val="auto"/>
                <w:sz w:val="24"/>
                <w:szCs w:val="24"/>
              </w:rPr>
            </w:pPr>
          </w:p>
        </w:tc>
        <w:tc>
          <w:tcPr>
            <w:tcW w:w="920" w:type="dxa"/>
            <w:noWrap w:val="0"/>
            <w:vAlign w:val="center"/>
          </w:tcPr>
          <w:p w14:paraId="643B1C9E">
            <w:pPr>
              <w:jc w:val="center"/>
              <w:rPr>
                <w:rFonts w:ascii="宋体" w:cs="Times New Roman"/>
                <w:color w:val="auto"/>
                <w:sz w:val="24"/>
                <w:szCs w:val="24"/>
              </w:rPr>
            </w:pPr>
            <w:r>
              <w:rPr>
                <w:rFonts w:ascii="宋体" w:hAnsi="宋体" w:cs="宋体"/>
                <w:color w:val="auto"/>
                <w:sz w:val="24"/>
                <w:szCs w:val="24"/>
              </w:rPr>
              <w:t>16</w:t>
            </w:r>
          </w:p>
        </w:tc>
        <w:tc>
          <w:tcPr>
            <w:tcW w:w="5697" w:type="dxa"/>
            <w:noWrap w:val="0"/>
            <w:vAlign w:val="top"/>
          </w:tcPr>
          <w:p w14:paraId="60F07846">
            <w:pPr>
              <w:rPr>
                <w:rFonts w:ascii="宋体" w:cs="Times New Roman"/>
                <w:color w:val="auto"/>
                <w:sz w:val="24"/>
                <w:szCs w:val="24"/>
              </w:rPr>
            </w:pPr>
            <w:r>
              <w:rPr>
                <w:rFonts w:hint="eastAsia" w:ascii="宋体" w:hAnsi="宋体" w:cs="宋体"/>
                <w:color w:val="auto"/>
                <w:sz w:val="24"/>
                <w:szCs w:val="24"/>
              </w:rPr>
              <w:t>中标供应商组织机构发生调整，或经营场所、联系人、联系方式变更，未及时通知采购人，造成无法及时联系的，每次扣</w:t>
            </w:r>
            <w:r>
              <w:rPr>
                <w:rFonts w:ascii="宋体" w:hAnsi="宋体" w:cs="宋体"/>
                <w:color w:val="auto"/>
                <w:sz w:val="24"/>
                <w:szCs w:val="24"/>
              </w:rPr>
              <w:t>2</w:t>
            </w:r>
            <w:r>
              <w:rPr>
                <w:rFonts w:hint="eastAsia" w:ascii="宋体" w:hAnsi="宋体" w:cs="宋体"/>
                <w:color w:val="auto"/>
                <w:sz w:val="24"/>
                <w:szCs w:val="24"/>
              </w:rPr>
              <w:t>分；</w:t>
            </w:r>
          </w:p>
        </w:tc>
        <w:tc>
          <w:tcPr>
            <w:tcW w:w="857" w:type="dxa"/>
            <w:noWrap w:val="0"/>
            <w:vAlign w:val="top"/>
          </w:tcPr>
          <w:p w14:paraId="6F584C2E">
            <w:pPr>
              <w:rPr>
                <w:rFonts w:ascii="宋体" w:cs="Times New Roman"/>
                <w:color w:val="auto"/>
                <w:sz w:val="24"/>
                <w:szCs w:val="24"/>
              </w:rPr>
            </w:pPr>
          </w:p>
        </w:tc>
        <w:tc>
          <w:tcPr>
            <w:tcW w:w="900" w:type="dxa"/>
            <w:noWrap w:val="0"/>
            <w:vAlign w:val="top"/>
          </w:tcPr>
          <w:p w14:paraId="043E30FE">
            <w:pPr>
              <w:rPr>
                <w:rFonts w:ascii="宋体" w:cs="Times New Roman"/>
                <w:color w:val="auto"/>
                <w:sz w:val="24"/>
                <w:szCs w:val="24"/>
              </w:rPr>
            </w:pPr>
          </w:p>
        </w:tc>
      </w:tr>
      <w:tr w14:paraId="20B8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restart"/>
            <w:noWrap w:val="0"/>
            <w:vAlign w:val="center"/>
          </w:tcPr>
          <w:p w14:paraId="6B55713E">
            <w:pPr>
              <w:jc w:val="center"/>
              <w:rPr>
                <w:rFonts w:ascii="宋体" w:cs="Times New Roman"/>
                <w:color w:val="auto"/>
                <w:sz w:val="24"/>
                <w:szCs w:val="24"/>
              </w:rPr>
            </w:pPr>
            <w:r>
              <w:rPr>
                <w:rFonts w:hint="eastAsia" w:ascii="宋体" w:hAnsi="宋体" w:cs="宋体"/>
                <w:color w:val="auto"/>
                <w:sz w:val="24"/>
                <w:szCs w:val="24"/>
              </w:rPr>
              <w:t>其它</w:t>
            </w:r>
          </w:p>
        </w:tc>
        <w:tc>
          <w:tcPr>
            <w:tcW w:w="920" w:type="dxa"/>
            <w:noWrap w:val="0"/>
            <w:vAlign w:val="center"/>
          </w:tcPr>
          <w:p w14:paraId="68BD8C10">
            <w:pPr>
              <w:jc w:val="center"/>
              <w:rPr>
                <w:rFonts w:ascii="宋体" w:cs="Times New Roman"/>
                <w:color w:val="auto"/>
                <w:sz w:val="24"/>
                <w:szCs w:val="24"/>
              </w:rPr>
            </w:pPr>
            <w:r>
              <w:rPr>
                <w:rFonts w:ascii="宋体" w:hAnsi="宋体" w:cs="宋体"/>
                <w:color w:val="auto"/>
                <w:sz w:val="24"/>
                <w:szCs w:val="24"/>
              </w:rPr>
              <w:t>17</w:t>
            </w:r>
          </w:p>
        </w:tc>
        <w:tc>
          <w:tcPr>
            <w:tcW w:w="5697" w:type="dxa"/>
            <w:noWrap w:val="0"/>
            <w:vAlign w:val="top"/>
          </w:tcPr>
          <w:p w14:paraId="1BDFB200">
            <w:pPr>
              <w:rPr>
                <w:rFonts w:ascii="宋体" w:cs="Times New Roman"/>
                <w:color w:val="auto"/>
                <w:sz w:val="24"/>
                <w:szCs w:val="24"/>
              </w:rPr>
            </w:pPr>
            <w:r>
              <w:rPr>
                <w:rFonts w:hint="eastAsia" w:ascii="宋体" w:hAnsi="宋体" w:cs="宋体"/>
                <w:color w:val="auto"/>
                <w:sz w:val="24"/>
                <w:szCs w:val="24"/>
              </w:rPr>
              <w:t>中标供应商工作人员不遵守采购人各项管理规定每次扣</w:t>
            </w:r>
            <w:r>
              <w:rPr>
                <w:rFonts w:ascii="宋体" w:hAnsi="宋体" w:cs="宋体"/>
                <w:color w:val="auto"/>
                <w:sz w:val="24"/>
                <w:szCs w:val="24"/>
              </w:rPr>
              <w:t>5</w:t>
            </w:r>
            <w:r>
              <w:rPr>
                <w:rFonts w:hint="eastAsia" w:ascii="宋体" w:hAnsi="宋体" w:cs="宋体"/>
                <w:color w:val="auto"/>
                <w:sz w:val="24"/>
                <w:szCs w:val="24"/>
              </w:rPr>
              <w:t>分；</w:t>
            </w:r>
          </w:p>
        </w:tc>
        <w:tc>
          <w:tcPr>
            <w:tcW w:w="857" w:type="dxa"/>
            <w:noWrap w:val="0"/>
            <w:vAlign w:val="top"/>
          </w:tcPr>
          <w:p w14:paraId="669E5251">
            <w:pPr>
              <w:rPr>
                <w:rFonts w:ascii="宋体" w:cs="Times New Roman"/>
                <w:color w:val="auto"/>
                <w:sz w:val="24"/>
                <w:szCs w:val="24"/>
              </w:rPr>
            </w:pPr>
          </w:p>
        </w:tc>
        <w:tc>
          <w:tcPr>
            <w:tcW w:w="900" w:type="dxa"/>
            <w:noWrap w:val="0"/>
            <w:vAlign w:val="top"/>
          </w:tcPr>
          <w:p w14:paraId="5F385FB5">
            <w:pPr>
              <w:rPr>
                <w:rFonts w:ascii="宋体" w:cs="Times New Roman"/>
                <w:color w:val="auto"/>
                <w:sz w:val="24"/>
                <w:szCs w:val="24"/>
              </w:rPr>
            </w:pPr>
          </w:p>
        </w:tc>
      </w:tr>
      <w:tr w14:paraId="6239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vMerge w:val="continue"/>
            <w:noWrap w:val="0"/>
            <w:vAlign w:val="center"/>
          </w:tcPr>
          <w:p w14:paraId="50840DD0">
            <w:pPr>
              <w:jc w:val="center"/>
              <w:rPr>
                <w:rFonts w:ascii="宋体" w:cs="Times New Roman"/>
                <w:color w:val="auto"/>
                <w:sz w:val="24"/>
                <w:szCs w:val="24"/>
              </w:rPr>
            </w:pPr>
          </w:p>
        </w:tc>
        <w:tc>
          <w:tcPr>
            <w:tcW w:w="920" w:type="dxa"/>
            <w:noWrap w:val="0"/>
            <w:vAlign w:val="center"/>
          </w:tcPr>
          <w:p w14:paraId="0E472C0C">
            <w:pPr>
              <w:jc w:val="center"/>
              <w:rPr>
                <w:rFonts w:ascii="宋体" w:cs="Times New Roman"/>
                <w:color w:val="auto"/>
                <w:sz w:val="24"/>
                <w:szCs w:val="24"/>
              </w:rPr>
            </w:pPr>
            <w:r>
              <w:rPr>
                <w:rFonts w:ascii="宋体" w:hAnsi="宋体" w:cs="宋体"/>
                <w:color w:val="auto"/>
                <w:sz w:val="24"/>
                <w:szCs w:val="24"/>
              </w:rPr>
              <w:t>18</w:t>
            </w:r>
          </w:p>
        </w:tc>
        <w:tc>
          <w:tcPr>
            <w:tcW w:w="5697" w:type="dxa"/>
            <w:noWrap w:val="0"/>
            <w:vAlign w:val="top"/>
          </w:tcPr>
          <w:p w14:paraId="205429C7">
            <w:pPr>
              <w:rPr>
                <w:rFonts w:ascii="宋体" w:cs="Times New Roman"/>
                <w:color w:val="auto"/>
                <w:sz w:val="24"/>
                <w:szCs w:val="24"/>
              </w:rPr>
            </w:pPr>
            <w:r>
              <w:rPr>
                <w:rFonts w:hint="eastAsia" w:ascii="宋体" w:hAnsi="宋体" w:cs="宋体"/>
                <w:color w:val="auto"/>
                <w:sz w:val="24"/>
                <w:szCs w:val="24"/>
              </w:rPr>
              <w:t>采购人认为应当对中标供应商进行考核的其他内容。</w:t>
            </w:r>
          </w:p>
        </w:tc>
        <w:tc>
          <w:tcPr>
            <w:tcW w:w="857" w:type="dxa"/>
            <w:noWrap w:val="0"/>
            <w:vAlign w:val="top"/>
          </w:tcPr>
          <w:p w14:paraId="2C82054A">
            <w:pPr>
              <w:rPr>
                <w:rFonts w:ascii="宋体" w:cs="Times New Roman"/>
                <w:color w:val="auto"/>
                <w:sz w:val="24"/>
                <w:szCs w:val="24"/>
              </w:rPr>
            </w:pPr>
          </w:p>
        </w:tc>
        <w:tc>
          <w:tcPr>
            <w:tcW w:w="900" w:type="dxa"/>
            <w:noWrap w:val="0"/>
            <w:vAlign w:val="top"/>
          </w:tcPr>
          <w:p w14:paraId="0BBAD764">
            <w:pPr>
              <w:rPr>
                <w:rFonts w:ascii="宋体" w:cs="Times New Roman"/>
                <w:color w:val="auto"/>
                <w:sz w:val="24"/>
                <w:szCs w:val="24"/>
              </w:rPr>
            </w:pPr>
          </w:p>
        </w:tc>
      </w:tr>
      <w:tr w14:paraId="0377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7" w:type="dxa"/>
            <w:gridSpan w:val="3"/>
            <w:noWrap w:val="0"/>
            <w:vAlign w:val="center"/>
          </w:tcPr>
          <w:p w14:paraId="0ACF4158">
            <w:pPr>
              <w:jc w:val="center"/>
              <w:rPr>
                <w:rFonts w:ascii="宋体" w:cs="Times New Roman"/>
                <w:color w:val="auto"/>
                <w:sz w:val="24"/>
                <w:szCs w:val="24"/>
              </w:rPr>
            </w:pPr>
            <w:r>
              <w:rPr>
                <w:rFonts w:hint="eastAsia" w:ascii="宋体" w:hAnsi="宋体" w:cs="宋体"/>
                <w:color w:val="auto"/>
                <w:sz w:val="24"/>
                <w:szCs w:val="24"/>
              </w:rPr>
              <w:t>扣分合计</w:t>
            </w:r>
          </w:p>
        </w:tc>
        <w:tc>
          <w:tcPr>
            <w:tcW w:w="1757" w:type="dxa"/>
            <w:gridSpan w:val="2"/>
            <w:noWrap w:val="0"/>
            <w:vAlign w:val="center"/>
          </w:tcPr>
          <w:p w14:paraId="7A985874">
            <w:pPr>
              <w:jc w:val="center"/>
              <w:rPr>
                <w:rFonts w:ascii="宋体" w:cs="Times New Roman"/>
                <w:color w:val="auto"/>
                <w:sz w:val="24"/>
                <w:szCs w:val="24"/>
              </w:rPr>
            </w:pPr>
          </w:p>
        </w:tc>
      </w:tr>
      <w:tr w14:paraId="7663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gridSpan w:val="2"/>
            <w:noWrap w:val="0"/>
            <w:vAlign w:val="center"/>
          </w:tcPr>
          <w:p w14:paraId="1F1F971E">
            <w:pPr>
              <w:jc w:val="center"/>
              <w:rPr>
                <w:rFonts w:ascii="宋体" w:cs="Times New Roman"/>
                <w:color w:val="auto"/>
                <w:sz w:val="24"/>
                <w:szCs w:val="24"/>
              </w:rPr>
            </w:pPr>
            <w:r>
              <w:rPr>
                <w:rFonts w:hint="eastAsia" w:ascii="宋体" w:hAnsi="宋体" w:cs="宋体"/>
                <w:color w:val="auto"/>
                <w:sz w:val="24"/>
                <w:szCs w:val="24"/>
              </w:rPr>
              <w:t>考核人</w:t>
            </w:r>
          </w:p>
        </w:tc>
        <w:tc>
          <w:tcPr>
            <w:tcW w:w="7454" w:type="dxa"/>
            <w:gridSpan w:val="3"/>
            <w:noWrap w:val="0"/>
            <w:vAlign w:val="center"/>
          </w:tcPr>
          <w:p w14:paraId="1C3DBA49">
            <w:pPr>
              <w:jc w:val="center"/>
              <w:rPr>
                <w:rFonts w:ascii="宋体" w:cs="Times New Roman"/>
                <w:color w:val="auto"/>
                <w:sz w:val="24"/>
                <w:szCs w:val="24"/>
              </w:rPr>
            </w:pPr>
          </w:p>
        </w:tc>
      </w:tr>
    </w:tbl>
    <w:p w14:paraId="480408B5">
      <w:pPr>
        <w:widowControl/>
        <w:jc w:val="left"/>
        <w:rPr>
          <w:rFonts w:ascii="宋体" w:cs="Times New Roman"/>
          <w:b/>
          <w:bCs/>
          <w:color w:val="auto"/>
          <w:sz w:val="24"/>
          <w:szCs w:val="24"/>
        </w:rPr>
      </w:pPr>
    </w:p>
    <w:p w14:paraId="612670F9">
      <w:pPr>
        <w:widowControl/>
        <w:jc w:val="left"/>
        <w:rPr>
          <w:rFonts w:ascii="宋体" w:cs="Times New Roman"/>
          <w:b/>
          <w:bCs/>
          <w:color w:val="auto"/>
          <w:sz w:val="24"/>
          <w:szCs w:val="24"/>
        </w:rPr>
      </w:pPr>
      <w:r>
        <w:rPr>
          <w:rFonts w:ascii="宋体" w:hAnsi="宋体" w:cs="宋体"/>
          <w:b/>
          <w:bCs/>
          <w:color w:val="auto"/>
          <w:sz w:val="24"/>
          <w:szCs w:val="24"/>
        </w:rPr>
        <w:t xml:space="preserve">   </w:t>
      </w:r>
    </w:p>
    <w:p w14:paraId="19E16352">
      <w:pPr>
        <w:tabs>
          <w:tab w:val="left" w:pos="900"/>
        </w:tabs>
        <w:autoSpaceDE w:val="0"/>
        <w:autoSpaceDN w:val="0"/>
        <w:adjustRightInd w:val="0"/>
        <w:snapToGrid w:val="0"/>
        <w:spacing w:line="360" w:lineRule="auto"/>
        <w:ind w:left="-496" w:leftChars="-236"/>
        <w:rPr>
          <w:rFonts w:ascii="宋体" w:cs="Times New Roman"/>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考核日期</w:t>
      </w:r>
      <w:r>
        <w:rPr>
          <w:rFonts w:ascii="宋体" w:hAnsi="宋体" w:cs="宋体"/>
          <w:color w:val="auto"/>
          <w:sz w:val="24"/>
          <w:szCs w:val="24"/>
        </w:rPr>
        <w:t xml:space="preserve">                              </w:t>
      </w:r>
      <w:r>
        <w:rPr>
          <w:rFonts w:hint="eastAsia" w:ascii="宋体" w:hAnsi="宋体" w:cs="宋体"/>
          <w:color w:val="auto"/>
          <w:sz w:val="24"/>
          <w:szCs w:val="24"/>
        </w:rPr>
        <w:t>考核人</w:t>
      </w:r>
    </w:p>
    <w:p w14:paraId="24CD8820">
      <w:pPr>
        <w:tabs>
          <w:tab w:val="left" w:pos="900"/>
        </w:tabs>
        <w:autoSpaceDE w:val="0"/>
        <w:autoSpaceDN w:val="0"/>
        <w:adjustRightInd w:val="0"/>
        <w:snapToGrid w:val="0"/>
        <w:spacing w:line="360" w:lineRule="auto"/>
        <w:ind w:left="-496" w:leftChars="-236"/>
        <w:jc w:val="center"/>
        <w:rPr>
          <w:rFonts w:ascii="宋体" w:cs="Times New Roman"/>
          <w:color w:val="auto"/>
          <w:sz w:val="24"/>
          <w:szCs w:val="24"/>
        </w:rPr>
      </w:pPr>
      <w:r>
        <w:rPr>
          <w:rFonts w:ascii="宋体" w:cs="Times New Roman"/>
          <w:color w:val="auto"/>
          <w:sz w:val="24"/>
          <w:szCs w:val="24"/>
        </w:rPr>
        <w:br w:type="page"/>
      </w:r>
      <w:r>
        <w:rPr>
          <w:rFonts w:hint="eastAsia" w:ascii="宋体" w:hAnsi="宋体" w:cs="宋体"/>
          <w:b/>
          <w:bCs/>
          <w:color w:val="auto"/>
          <w:sz w:val="24"/>
          <w:szCs w:val="24"/>
        </w:rPr>
        <w:t>三、评审标准</w:t>
      </w:r>
    </w:p>
    <w:p w14:paraId="6B4D264C">
      <w:pPr>
        <w:spacing w:line="360" w:lineRule="auto"/>
        <w:jc w:val="center"/>
        <w:rPr>
          <w:rFonts w:ascii="宋体" w:cs="Times New Roman"/>
          <w:b/>
          <w:bCs/>
          <w:color w:val="auto"/>
          <w:sz w:val="24"/>
          <w:szCs w:val="24"/>
        </w:rPr>
      </w:pPr>
      <w:r>
        <w:rPr>
          <w:rFonts w:hint="eastAsia" w:ascii="宋体" w:hAnsi="宋体" w:cs="宋体"/>
          <w:b/>
          <w:bCs/>
          <w:color w:val="auto"/>
          <w:sz w:val="24"/>
          <w:szCs w:val="24"/>
        </w:rPr>
        <w:t>技术部分（</w:t>
      </w:r>
      <w:r>
        <w:rPr>
          <w:rFonts w:hint="eastAsia" w:ascii="宋体" w:hAnsi="宋体" w:cs="宋体"/>
          <w:b/>
          <w:bCs/>
          <w:color w:val="auto"/>
          <w:sz w:val="24"/>
          <w:szCs w:val="24"/>
          <w:lang w:val="en-US" w:eastAsia="zh-CN"/>
        </w:rPr>
        <w:t>30</w:t>
      </w:r>
      <w:r>
        <w:rPr>
          <w:rFonts w:hint="eastAsia" w:ascii="宋体" w:hAnsi="宋体" w:cs="宋体"/>
          <w:b/>
          <w:bCs/>
          <w:color w:val="auto"/>
          <w:sz w:val="24"/>
          <w:szCs w:val="24"/>
        </w:rPr>
        <w:t>分）</w:t>
      </w:r>
    </w:p>
    <w:tbl>
      <w:tblPr>
        <w:tblStyle w:val="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245"/>
        <w:gridCol w:w="6990"/>
        <w:gridCol w:w="874"/>
      </w:tblGrid>
      <w:tr w14:paraId="5613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53236690">
            <w:pPr>
              <w:jc w:val="center"/>
              <w:rPr>
                <w:rFonts w:ascii="宋体" w:cs="Times New Roman"/>
                <w:b/>
                <w:bCs/>
                <w:color w:val="auto"/>
                <w:sz w:val="24"/>
                <w:szCs w:val="24"/>
              </w:rPr>
            </w:pPr>
            <w:r>
              <w:rPr>
                <w:rFonts w:hint="eastAsia" w:ascii="宋体" w:hAnsi="宋体" w:cs="宋体"/>
                <w:b/>
                <w:bCs/>
                <w:color w:val="auto"/>
                <w:sz w:val="24"/>
                <w:szCs w:val="24"/>
              </w:rPr>
              <w:t>序号</w:t>
            </w:r>
          </w:p>
        </w:tc>
        <w:tc>
          <w:tcPr>
            <w:tcW w:w="1245" w:type="dxa"/>
            <w:noWrap w:val="0"/>
            <w:vAlign w:val="center"/>
          </w:tcPr>
          <w:p w14:paraId="2B73324C">
            <w:pPr>
              <w:jc w:val="center"/>
              <w:rPr>
                <w:rFonts w:ascii="宋体" w:cs="Times New Roman"/>
                <w:b/>
                <w:bCs/>
                <w:color w:val="auto"/>
                <w:sz w:val="24"/>
                <w:szCs w:val="24"/>
              </w:rPr>
            </w:pPr>
            <w:r>
              <w:rPr>
                <w:rFonts w:hint="eastAsia" w:ascii="宋体" w:hAnsi="宋体" w:cs="宋体"/>
                <w:b/>
                <w:bCs/>
                <w:color w:val="auto"/>
                <w:sz w:val="24"/>
                <w:szCs w:val="24"/>
              </w:rPr>
              <w:t>评审分项</w:t>
            </w:r>
          </w:p>
        </w:tc>
        <w:tc>
          <w:tcPr>
            <w:tcW w:w="6990" w:type="dxa"/>
            <w:noWrap w:val="0"/>
            <w:vAlign w:val="center"/>
          </w:tcPr>
          <w:p w14:paraId="4BEB951D">
            <w:pPr>
              <w:jc w:val="center"/>
              <w:rPr>
                <w:rFonts w:ascii="宋体" w:cs="Times New Roman"/>
                <w:b/>
                <w:bCs/>
                <w:color w:val="auto"/>
                <w:sz w:val="24"/>
                <w:szCs w:val="24"/>
              </w:rPr>
            </w:pPr>
            <w:r>
              <w:rPr>
                <w:rFonts w:hint="eastAsia" w:ascii="宋体" w:hAnsi="宋体" w:cs="宋体"/>
                <w:b/>
                <w:bCs/>
                <w:color w:val="auto"/>
                <w:sz w:val="24"/>
                <w:szCs w:val="24"/>
              </w:rPr>
              <w:t>评审细则</w:t>
            </w:r>
          </w:p>
        </w:tc>
        <w:tc>
          <w:tcPr>
            <w:tcW w:w="874" w:type="dxa"/>
            <w:noWrap w:val="0"/>
            <w:vAlign w:val="center"/>
          </w:tcPr>
          <w:p w14:paraId="39A65972">
            <w:pPr>
              <w:jc w:val="center"/>
              <w:rPr>
                <w:rFonts w:ascii="宋体" w:cs="Times New Roman"/>
                <w:b/>
                <w:bCs/>
                <w:color w:val="auto"/>
                <w:sz w:val="24"/>
                <w:szCs w:val="24"/>
              </w:rPr>
            </w:pPr>
            <w:r>
              <w:rPr>
                <w:rFonts w:hint="eastAsia" w:ascii="宋体" w:hAnsi="宋体" w:cs="宋体"/>
                <w:b/>
                <w:bCs/>
                <w:color w:val="auto"/>
                <w:sz w:val="24"/>
                <w:szCs w:val="24"/>
              </w:rPr>
              <w:t>分值</w:t>
            </w:r>
          </w:p>
        </w:tc>
      </w:tr>
      <w:tr w14:paraId="1011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74" w:hRule="atLeast"/>
          <w:jc w:val="center"/>
        </w:trPr>
        <w:tc>
          <w:tcPr>
            <w:tcW w:w="667" w:type="dxa"/>
            <w:noWrap w:val="0"/>
            <w:vAlign w:val="center"/>
          </w:tcPr>
          <w:p w14:paraId="073CA9DF">
            <w:pPr>
              <w:jc w:val="center"/>
              <w:rPr>
                <w:rFonts w:ascii="宋体" w:cs="Times New Roman"/>
                <w:color w:val="auto"/>
                <w:sz w:val="24"/>
                <w:szCs w:val="24"/>
              </w:rPr>
            </w:pPr>
            <w:r>
              <w:rPr>
                <w:rFonts w:ascii="宋体" w:hAnsi="宋体" w:cs="宋体"/>
                <w:color w:val="auto"/>
                <w:sz w:val="24"/>
                <w:szCs w:val="24"/>
              </w:rPr>
              <w:t>1</w:t>
            </w:r>
          </w:p>
        </w:tc>
        <w:tc>
          <w:tcPr>
            <w:tcW w:w="1245" w:type="dxa"/>
            <w:noWrap w:val="0"/>
            <w:vAlign w:val="center"/>
          </w:tcPr>
          <w:p w14:paraId="7F94C6E8">
            <w:pPr>
              <w:jc w:val="center"/>
              <w:rPr>
                <w:rFonts w:ascii="宋体" w:cs="Times New Roman"/>
                <w:color w:val="auto"/>
                <w:sz w:val="24"/>
                <w:szCs w:val="24"/>
              </w:rPr>
            </w:pPr>
            <w:r>
              <w:rPr>
                <w:rFonts w:hint="eastAsia" w:ascii="宋体" w:hAnsi="宋体" w:cs="宋体"/>
                <w:color w:val="auto"/>
                <w:sz w:val="24"/>
                <w:szCs w:val="24"/>
              </w:rPr>
              <w:t>企业管理制度及配送服务理念评价</w:t>
            </w:r>
          </w:p>
        </w:tc>
        <w:tc>
          <w:tcPr>
            <w:tcW w:w="6990" w:type="dxa"/>
            <w:noWrap w:val="0"/>
            <w:vAlign w:val="center"/>
          </w:tcPr>
          <w:p w14:paraId="7EE8F1DC">
            <w:pPr>
              <w:jc w:val="left"/>
              <w:rPr>
                <w:rFonts w:ascii="宋体" w:cs="Times New Roman"/>
                <w:color w:val="auto"/>
                <w:sz w:val="24"/>
                <w:szCs w:val="24"/>
              </w:rPr>
            </w:pPr>
            <w:r>
              <w:rPr>
                <w:rFonts w:hint="eastAsia" w:ascii="宋体" w:hAnsi="宋体" w:cs="宋体"/>
                <w:color w:val="auto"/>
                <w:sz w:val="24"/>
                <w:szCs w:val="24"/>
              </w:rPr>
              <w:t>投标人具备各项企业管理制度及配送服务理念等。</w:t>
            </w:r>
          </w:p>
          <w:p w14:paraId="76EC06DB">
            <w:pPr>
              <w:jc w:val="left"/>
              <w:rPr>
                <w:rFonts w:ascii="宋体" w:cs="Times New Roman"/>
                <w:color w:val="auto"/>
                <w:sz w:val="24"/>
                <w:szCs w:val="24"/>
              </w:rPr>
            </w:pPr>
            <w:r>
              <w:rPr>
                <w:rFonts w:hint="eastAsia" w:ascii="宋体" w:hAnsi="宋体" w:cs="宋体"/>
                <w:color w:val="auto"/>
                <w:sz w:val="24"/>
                <w:szCs w:val="24"/>
              </w:rPr>
              <w:t>管理制度满足或优于项目实际需要、切实可行，服务理念具体完善，得</w:t>
            </w:r>
            <w:r>
              <w:rPr>
                <w:rFonts w:ascii="宋体" w:hAnsi="宋体" w:cs="宋体"/>
                <w:color w:val="auto"/>
                <w:sz w:val="24"/>
                <w:szCs w:val="24"/>
              </w:rPr>
              <w:t>5</w:t>
            </w:r>
            <w:r>
              <w:rPr>
                <w:rFonts w:hint="eastAsia" w:ascii="宋体" w:hAnsi="宋体" w:cs="宋体"/>
                <w:color w:val="auto"/>
                <w:sz w:val="24"/>
                <w:szCs w:val="24"/>
              </w:rPr>
              <w:t>分；</w:t>
            </w:r>
          </w:p>
          <w:p w14:paraId="173521E3">
            <w:pPr>
              <w:jc w:val="left"/>
              <w:rPr>
                <w:rFonts w:ascii="宋体" w:cs="Times New Roman"/>
                <w:color w:val="auto"/>
                <w:sz w:val="24"/>
                <w:szCs w:val="24"/>
              </w:rPr>
            </w:pPr>
            <w:r>
              <w:rPr>
                <w:rFonts w:hint="eastAsia" w:ascii="宋体" w:hAnsi="宋体" w:cs="宋体"/>
                <w:color w:val="auto"/>
                <w:sz w:val="24"/>
                <w:szCs w:val="24"/>
              </w:rPr>
              <w:t>管理制度基本符合项目需要，可操作性一般，服务理念一般，得</w:t>
            </w:r>
            <w:r>
              <w:rPr>
                <w:rFonts w:ascii="宋体" w:hAnsi="宋体" w:cs="宋体"/>
                <w:color w:val="auto"/>
                <w:sz w:val="24"/>
                <w:szCs w:val="24"/>
              </w:rPr>
              <w:t>2</w:t>
            </w:r>
            <w:r>
              <w:rPr>
                <w:rFonts w:hint="eastAsia" w:ascii="宋体" w:hAnsi="宋体" w:cs="宋体"/>
                <w:color w:val="auto"/>
                <w:sz w:val="24"/>
                <w:szCs w:val="24"/>
              </w:rPr>
              <w:t>分；</w:t>
            </w:r>
          </w:p>
          <w:p w14:paraId="672D36C5">
            <w:pPr>
              <w:jc w:val="left"/>
              <w:rPr>
                <w:rFonts w:ascii="宋体" w:cs="Times New Roman"/>
                <w:color w:val="auto"/>
                <w:sz w:val="24"/>
                <w:szCs w:val="24"/>
              </w:rPr>
            </w:pPr>
            <w:r>
              <w:rPr>
                <w:rFonts w:hint="eastAsia" w:ascii="宋体" w:hAnsi="宋体" w:cs="宋体"/>
                <w:color w:val="auto"/>
                <w:sz w:val="24"/>
                <w:szCs w:val="24"/>
              </w:rPr>
              <w:t>管理制度不完善，不能符合项目需要，不具备可操作性，得</w:t>
            </w:r>
            <w:r>
              <w:rPr>
                <w:rFonts w:ascii="宋体" w:hAnsi="宋体" w:cs="宋体"/>
                <w:color w:val="auto"/>
                <w:sz w:val="24"/>
                <w:szCs w:val="24"/>
              </w:rPr>
              <w:t>1</w:t>
            </w:r>
            <w:r>
              <w:rPr>
                <w:rFonts w:hint="eastAsia" w:ascii="宋体" w:hAnsi="宋体" w:cs="宋体"/>
                <w:color w:val="auto"/>
                <w:sz w:val="24"/>
                <w:szCs w:val="24"/>
              </w:rPr>
              <w:t>分。</w:t>
            </w:r>
          </w:p>
          <w:p w14:paraId="64F63C37">
            <w:pPr>
              <w:jc w:val="left"/>
              <w:rPr>
                <w:rFonts w:ascii="宋体" w:cs="Times New Roman"/>
                <w:color w:val="auto"/>
                <w:sz w:val="24"/>
                <w:szCs w:val="24"/>
              </w:rPr>
            </w:pPr>
            <w:r>
              <w:rPr>
                <w:rFonts w:hint="eastAsia" w:ascii="宋体" w:hAnsi="宋体" w:cs="宋体"/>
                <w:color w:val="auto"/>
                <w:sz w:val="24"/>
                <w:szCs w:val="24"/>
              </w:rPr>
              <w:t>无管理制度或无服务理念，不得分。</w:t>
            </w:r>
          </w:p>
        </w:tc>
        <w:tc>
          <w:tcPr>
            <w:tcW w:w="874" w:type="dxa"/>
            <w:noWrap w:val="0"/>
            <w:vAlign w:val="center"/>
          </w:tcPr>
          <w:p w14:paraId="6DF7D5EE">
            <w:pPr>
              <w:jc w:val="center"/>
              <w:rPr>
                <w:rFonts w:ascii="宋体" w:cs="Times New Roman"/>
                <w:b/>
                <w:bCs/>
                <w:color w:val="auto"/>
                <w:sz w:val="24"/>
                <w:szCs w:val="24"/>
              </w:rPr>
            </w:pPr>
            <w:r>
              <w:rPr>
                <w:rFonts w:ascii="宋体" w:hAnsi="宋体" w:cs="宋体"/>
                <w:color w:val="auto"/>
                <w:sz w:val="24"/>
                <w:szCs w:val="24"/>
              </w:rPr>
              <w:t>5</w:t>
            </w:r>
          </w:p>
        </w:tc>
      </w:tr>
      <w:tr w14:paraId="5621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6EF8E998">
            <w:pPr>
              <w:jc w:val="center"/>
              <w:rPr>
                <w:rFonts w:ascii="宋体" w:cs="Times New Roman"/>
                <w:color w:val="auto"/>
                <w:sz w:val="24"/>
                <w:szCs w:val="24"/>
              </w:rPr>
            </w:pPr>
            <w:r>
              <w:rPr>
                <w:rFonts w:ascii="宋体" w:hAnsi="宋体" w:cs="宋体"/>
                <w:color w:val="auto"/>
                <w:sz w:val="24"/>
                <w:szCs w:val="24"/>
              </w:rPr>
              <w:t>2</w:t>
            </w:r>
          </w:p>
        </w:tc>
        <w:tc>
          <w:tcPr>
            <w:tcW w:w="1245" w:type="dxa"/>
            <w:noWrap w:val="0"/>
            <w:vAlign w:val="center"/>
          </w:tcPr>
          <w:p w14:paraId="4928C44C">
            <w:pPr>
              <w:jc w:val="center"/>
              <w:rPr>
                <w:rFonts w:ascii="宋体" w:cs="Times New Roman"/>
                <w:color w:val="auto"/>
                <w:sz w:val="24"/>
                <w:szCs w:val="24"/>
              </w:rPr>
            </w:pPr>
            <w:r>
              <w:rPr>
                <w:rFonts w:hint="eastAsia" w:ascii="宋体" w:hAnsi="宋体" w:cs="宋体"/>
                <w:color w:val="auto"/>
                <w:sz w:val="24"/>
                <w:szCs w:val="24"/>
              </w:rPr>
              <w:t>项目实施方案及货物质量保证</w:t>
            </w:r>
          </w:p>
        </w:tc>
        <w:tc>
          <w:tcPr>
            <w:tcW w:w="6990" w:type="dxa"/>
            <w:noWrap w:val="0"/>
            <w:vAlign w:val="center"/>
          </w:tcPr>
          <w:p w14:paraId="00CA1945">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投标货物的来源、加工、包装、保存、运输等各环节的质量保证措施具体、完善，优于采购需求得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08CAE99C">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投标货物的来源、加工、包装、保存、运输等各环节的质量保证措施基本具体、相对完善，符合采购需求得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p w14:paraId="5D23B26C">
            <w:pPr>
              <w:rPr>
                <w:rFonts w:ascii="宋体" w:cs="Times New Roman"/>
                <w:color w:val="auto"/>
                <w:sz w:val="24"/>
                <w:szCs w:val="24"/>
              </w:rPr>
            </w:pPr>
            <w:r>
              <w:rPr>
                <w:rFonts w:hint="eastAsia" w:ascii="宋体" w:hAnsi="宋体" w:cs="宋体"/>
                <w:color w:val="auto"/>
                <w:sz w:val="24"/>
                <w:szCs w:val="24"/>
              </w:rPr>
              <w:t>投标货物的来源、加工、包装、保存、运输等各环节的质量保证措施不够具体、完善性一般，得</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14:paraId="625E46B8">
            <w:pPr>
              <w:pStyle w:val="3"/>
              <w:jc w:val="both"/>
              <w:rPr>
                <w:rFonts w:ascii="宋体" w:cs="Times New Roman"/>
                <w:b w:val="0"/>
                <w:bCs w:val="0"/>
                <w:color w:val="auto"/>
                <w:sz w:val="24"/>
                <w:szCs w:val="24"/>
              </w:rPr>
            </w:pPr>
            <w:r>
              <w:rPr>
                <w:rFonts w:hint="eastAsia" w:ascii="宋体" w:hAnsi="宋体" w:cs="宋体"/>
                <w:b w:val="0"/>
                <w:bCs w:val="0"/>
                <w:color w:val="auto"/>
                <w:sz w:val="24"/>
                <w:szCs w:val="24"/>
              </w:rPr>
              <w:t>未提供者不得分。</w:t>
            </w:r>
          </w:p>
        </w:tc>
        <w:tc>
          <w:tcPr>
            <w:tcW w:w="874" w:type="dxa"/>
            <w:noWrap w:val="0"/>
            <w:vAlign w:val="center"/>
          </w:tcPr>
          <w:p w14:paraId="4B2E3C30">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w:t>
            </w:r>
          </w:p>
        </w:tc>
      </w:tr>
      <w:tr w14:paraId="3808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3" w:hRule="atLeast"/>
          <w:jc w:val="center"/>
        </w:trPr>
        <w:tc>
          <w:tcPr>
            <w:tcW w:w="667" w:type="dxa"/>
            <w:noWrap w:val="0"/>
            <w:vAlign w:val="center"/>
          </w:tcPr>
          <w:p w14:paraId="7AAB75FC">
            <w:pPr>
              <w:jc w:val="center"/>
              <w:rPr>
                <w:rFonts w:ascii="宋体" w:cs="Times New Roman"/>
                <w:color w:val="auto"/>
                <w:sz w:val="24"/>
                <w:szCs w:val="24"/>
              </w:rPr>
            </w:pPr>
            <w:r>
              <w:rPr>
                <w:rFonts w:ascii="宋体" w:hAnsi="宋体" w:cs="宋体"/>
                <w:color w:val="auto"/>
                <w:sz w:val="24"/>
                <w:szCs w:val="24"/>
              </w:rPr>
              <w:t>4</w:t>
            </w:r>
          </w:p>
        </w:tc>
        <w:tc>
          <w:tcPr>
            <w:tcW w:w="1245" w:type="dxa"/>
            <w:noWrap w:val="0"/>
            <w:vAlign w:val="center"/>
          </w:tcPr>
          <w:p w14:paraId="5FBC8BDB">
            <w:pPr>
              <w:jc w:val="center"/>
              <w:rPr>
                <w:rFonts w:ascii="宋体" w:cs="Times New Roman"/>
                <w:color w:val="auto"/>
                <w:sz w:val="24"/>
                <w:szCs w:val="24"/>
              </w:rPr>
            </w:pPr>
            <w:r>
              <w:rPr>
                <w:rFonts w:hint="eastAsia" w:ascii="宋体" w:hAnsi="宋体" w:cs="宋体"/>
                <w:color w:val="auto"/>
                <w:sz w:val="24"/>
                <w:szCs w:val="24"/>
              </w:rPr>
              <w:t>食材配送特殊情况应急方案</w:t>
            </w:r>
          </w:p>
        </w:tc>
        <w:tc>
          <w:tcPr>
            <w:tcW w:w="6990" w:type="dxa"/>
            <w:noWrap w:val="0"/>
            <w:vAlign w:val="center"/>
          </w:tcPr>
          <w:p w14:paraId="1484A203">
            <w:pPr>
              <w:rPr>
                <w:rFonts w:ascii="宋体" w:cs="Times New Roman"/>
                <w:color w:val="auto"/>
                <w:sz w:val="24"/>
                <w:szCs w:val="24"/>
              </w:rPr>
            </w:pPr>
            <w:r>
              <w:rPr>
                <w:rFonts w:hint="eastAsia" w:ascii="宋体" w:hAnsi="宋体" w:cs="宋体"/>
                <w:color w:val="auto"/>
                <w:sz w:val="24"/>
                <w:szCs w:val="24"/>
              </w:rPr>
              <w:t>特殊情况应急方案具体、合理、优于采购需求得</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p w14:paraId="6B0D7AA4">
            <w:pPr>
              <w:rPr>
                <w:rFonts w:ascii="宋体" w:cs="Times New Roman"/>
                <w:color w:val="auto"/>
                <w:sz w:val="24"/>
                <w:szCs w:val="24"/>
              </w:rPr>
            </w:pPr>
            <w:r>
              <w:rPr>
                <w:rFonts w:hint="eastAsia" w:ascii="宋体" w:hAnsi="宋体" w:cs="宋体"/>
                <w:color w:val="auto"/>
                <w:sz w:val="24"/>
                <w:szCs w:val="24"/>
              </w:rPr>
              <w:t>特殊情况应急方案较详尽、符合采购需求得</w:t>
            </w:r>
            <w:r>
              <w:rPr>
                <w:rFonts w:ascii="宋体" w:hAnsi="宋体" w:cs="宋体"/>
                <w:color w:val="auto"/>
                <w:sz w:val="24"/>
                <w:szCs w:val="24"/>
              </w:rPr>
              <w:t>5</w:t>
            </w:r>
            <w:r>
              <w:rPr>
                <w:rFonts w:hint="eastAsia" w:ascii="宋体" w:hAnsi="宋体" w:cs="宋体"/>
                <w:color w:val="auto"/>
                <w:sz w:val="24"/>
                <w:szCs w:val="24"/>
              </w:rPr>
              <w:t>分；</w:t>
            </w:r>
          </w:p>
          <w:p w14:paraId="66DAF03C">
            <w:pPr>
              <w:rPr>
                <w:rFonts w:ascii="宋体" w:cs="Times New Roman"/>
                <w:color w:val="auto"/>
                <w:sz w:val="24"/>
                <w:szCs w:val="24"/>
              </w:rPr>
            </w:pPr>
            <w:r>
              <w:rPr>
                <w:rFonts w:hint="eastAsia" w:ascii="宋体" w:hAnsi="宋体" w:cs="宋体"/>
                <w:color w:val="auto"/>
                <w:sz w:val="24"/>
                <w:szCs w:val="24"/>
              </w:rPr>
              <w:t>特殊情况应急方案不够具体、基本可行得</w:t>
            </w:r>
            <w:r>
              <w:rPr>
                <w:rFonts w:ascii="宋体" w:hAnsi="宋体" w:cs="宋体"/>
                <w:color w:val="auto"/>
                <w:sz w:val="24"/>
                <w:szCs w:val="24"/>
              </w:rPr>
              <w:t>3</w:t>
            </w:r>
            <w:r>
              <w:rPr>
                <w:rFonts w:hint="eastAsia" w:ascii="宋体" w:hAnsi="宋体" w:cs="宋体"/>
                <w:color w:val="auto"/>
                <w:sz w:val="24"/>
                <w:szCs w:val="24"/>
              </w:rPr>
              <w:t>分。</w:t>
            </w:r>
          </w:p>
          <w:p w14:paraId="0EC7282F">
            <w:pPr>
              <w:pStyle w:val="3"/>
              <w:jc w:val="left"/>
              <w:rPr>
                <w:rFonts w:ascii="宋体" w:cs="Times New Roman"/>
                <w:b w:val="0"/>
                <w:bCs w:val="0"/>
                <w:color w:val="auto"/>
                <w:sz w:val="24"/>
                <w:szCs w:val="24"/>
              </w:rPr>
            </w:pPr>
            <w:r>
              <w:rPr>
                <w:rFonts w:hint="eastAsia" w:ascii="宋体" w:hAnsi="宋体" w:cs="宋体"/>
                <w:b w:val="0"/>
                <w:bCs w:val="0"/>
                <w:color w:val="auto"/>
                <w:sz w:val="24"/>
                <w:szCs w:val="24"/>
              </w:rPr>
              <w:t>未提供或可行性差的不得分。</w:t>
            </w:r>
          </w:p>
        </w:tc>
        <w:tc>
          <w:tcPr>
            <w:tcW w:w="874" w:type="dxa"/>
            <w:noWrap w:val="0"/>
            <w:vAlign w:val="center"/>
          </w:tcPr>
          <w:p w14:paraId="2E17D26A">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10</w:t>
            </w:r>
          </w:p>
        </w:tc>
      </w:tr>
      <w:tr w14:paraId="1DD6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03" w:hRule="atLeast"/>
          <w:jc w:val="center"/>
        </w:trPr>
        <w:tc>
          <w:tcPr>
            <w:tcW w:w="667" w:type="dxa"/>
            <w:noWrap w:val="0"/>
            <w:vAlign w:val="center"/>
          </w:tcPr>
          <w:p w14:paraId="6DB0888B">
            <w:pPr>
              <w:jc w:val="center"/>
              <w:rPr>
                <w:rFonts w:ascii="宋体" w:cs="Times New Roman"/>
                <w:color w:val="auto"/>
                <w:sz w:val="24"/>
                <w:szCs w:val="24"/>
              </w:rPr>
            </w:pPr>
            <w:r>
              <w:rPr>
                <w:rFonts w:ascii="宋体" w:hAnsi="宋体" w:cs="宋体"/>
                <w:color w:val="auto"/>
                <w:sz w:val="24"/>
                <w:szCs w:val="24"/>
              </w:rPr>
              <w:t>5</w:t>
            </w:r>
          </w:p>
        </w:tc>
        <w:tc>
          <w:tcPr>
            <w:tcW w:w="1245" w:type="dxa"/>
            <w:noWrap w:val="0"/>
            <w:vAlign w:val="center"/>
          </w:tcPr>
          <w:p w14:paraId="256C19D5">
            <w:pPr>
              <w:jc w:val="center"/>
              <w:rPr>
                <w:rFonts w:ascii="宋体" w:cs="Times New Roman"/>
                <w:color w:val="auto"/>
                <w:sz w:val="24"/>
                <w:szCs w:val="24"/>
              </w:rPr>
            </w:pPr>
            <w:r>
              <w:rPr>
                <w:rFonts w:hint="eastAsia" w:ascii="宋体" w:hAnsi="宋体" w:cs="宋体"/>
                <w:color w:val="auto"/>
                <w:sz w:val="24"/>
                <w:szCs w:val="24"/>
              </w:rPr>
              <w:t>售后服务方案评价</w:t>
            </w:r>
          </w:p>
        </w:tc>
        <w:tc>
          <w:tcPr>
            <w:tcW w:w="6990" w:type="dxa"/>
            <w:noWrap w:val="0"/>
            <w:vAlign w:val="center"/>
          </w:tcPr>
          <w:p w14:paraId="37B56027">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w:t>
            </w:r>
            <w:r>
              <w:rPr>
                <w:rFonts w:hint="eastAsia" w:ascii="宋体" w:hAnsi="宋体" w:cs="宋体"/>
                <w:color w:val="auto"/>
                <w:sz w:val="24"/>
                <w:szCs w:val="24"/>
              </w:rPr>
              <w:t>根据各报价人在本项目实施全过程中的售后服务、不合格货物退换方案及承诺进行评价：</w:t>
            </w:r>
          </w:p>
          <w:p w14:paraId="20CEB502">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）售后服务计划完整可行，紧急供应时间短，得</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p w14:paraId="6697F17E">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）售后服务计划基本完整，紧急供应时间较长，得</w:t>
            </w:r>
            <w:r>
              <w:rPr>
                <w:rFonts w:hint="eastAsia" w:ascii="宋体" w:hAnsi="宋体" w:cs="宋体"/>
                <w:color w:val="auto"/>
                <w:sz w:val="24"/>
                <w:szCs w:val="24"/>
                <w:lang w:val="en-US" w:eastAsia="zh-CN"/>
              </w:rPr>
              <w:t>5</w:t>
            </w:r>
            <w:r>
              <w:rPr>
                <w:rFonts w:hint="eastAsia" w:ascii="宋体" w:hAnsi="宋体" w:cs="宋体"/>
                <w:color w:val="auto"/>
                <w:sz w:val="24"/>
                <w:szCs w:val="24"/>
              </w:rPr>
              <w:t>分；</w:t>
            </w:r>
          </w:p>
          <w:p w14:paraId="37F1A44F">
            <w:pPr>
              <w:rPr>
                <w:rFonts w:ascii="宋体" w:cs="Times New Roman"/>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）售后服务计划不完整，紧急供应时间长，得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tc>
        <w:tc>
          <w:tcPr>
            <w:tcW w:w="874" w:type="dxa"/>
            <w:noWrap w:val="0"/>
            <w:vAlign w:val="center"/>
          </w:tcPr>
          <w:p w14:paraId="60DBAF9F">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10</w:t>
            </w:r>
          </w:p>
        </w:tc>
      </w:tr>
      <w:tr w14:paraId="755A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1" w:hRule="atLeast"/>
          <w:jc w:val="center"/>
        </w:trPr>
        <w:tc>
          <w:tcPr>
            <w:tcW w:w="8902" w:type="dxa"/>
            <w:gridSpan w:val="3"/>
            <w:noWrap w:val="0"/>
            <w:vAlign w:val="center"/>
          </w:tcPr>
          <w:p w14:paraId="2EC9DF90">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14:paraId="6A0CD936">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30</w:t>
            </w:r>
          </w:p>
        </w:tc>
      </w:tr>
    </w:tbl>
    <w:p w14:paraId="25A7DFD3">
      <w:pPr>
        <w:spacing w:line="360" w:lineRule="auto"/>
        <w:jc w:val="center"/>
        <w:rPr>
          <w:rFonts w:ascii="宋体" w:cs="Times New Roman"/>
          <w:b/>
          <w:bCs/>
          <w:color w:val="auto"/>
          <w:sz w:val="24"/>
          <w:szCs w:val="24"/>
        </w:rPr>
      </w:pPr>
      <w:r>
        <w:rPr>
          <w:rFonts w:hint="eastAsia" w:ascii="宋体" w:hAnsi="宋体" w:cs="宋体"/>
          <w:b/>
          <w:bCs/>
          <w:color w:val="auto"/>
          <w:sz w:val="24"/>
          <w:szCs w:val="24"/>
        </w:rPr>
        <w:t>商务部分（</w:t>
      </w:r>
      <w:r>
        <w:rPr>
          <w:rFonts w:hint="eastAsia" w:ascii="宋体" w:hAnsi="宋体" w:cs="宋体"/>
          <w:b/>
          <w:bCs/>
          <w:color w:val="auto"/>
          <w:sz w:val="24"/>
          <w:szCs w:val="24"/>
          <w:lang w:val="en-US" w:eastAsia="zh-CN"/>
        </w:rPr>
        <w:t>30</w:t>
      </w:r>
      <w:r>
        <w:rPr>
          <w:rFonts w:hint="eastAsia" w:ascii="宋体" w:hAnsi="宋体" w:cs="宋体"/>
          <w:b/>
          <w:bCs/>
          <w:color w:val="auto"/>
          <w:sz w:val="24"/>
          <w:szCs w:val="24"/>
        </w:rPr>
        <w:t>）</w:t>
      </w:r>
    </w:p>
    <w:tbl>
      <w:tblPr>
        <w:tblStyle w:val="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67"/>
        <w:gridCol w:w="1474"/>
        <w:gridCol w:w="6761"/>
        <w:gridCol w:w="874"/>
      </w:tblGrid>
      <w:tr w14:paraId="4A84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667" w:type="dxa"/>
            <w:noWrap w:val="0"/>
            <w:vAlign w:val="center"/>
          </w:tcPr>
          <w:p w14:paraId="585B42C1">
            <w:pPr>
              <w:jc w:val="center"/>
              <w:rPr>
                <w:rFonts w:ascii="宋体" w:cs="Times New Roman"/>
                <w:color w:val="auto"/>
                <w:sz w:val="24"/>
                <w:szCs w:val="24"/>
              </w:rPr>
            </w:pPr>
            <w:r>
              <w:rPr>
                <w:rFonts w:hint="eastAsia" w:ascii="宋体" w:hAnsi="宋体" w:cs="宋体"/>
                <w:color w:val="auto"/>
                <w:sz w:val="24"/>
                <w:szCs w:val="24"/>
              </w:rPr>
              <w:t>序号</w:t>
            </w:r>
          </w:p>
        </w:tc>
        <w:tc>
          <w:tcPr>
            <w:tcW w:w="1474" w:type="dxa"/>
            <w:noWrap w:val="0"/>
            <w:vAlign w:val="center"/>
          </w:tcPr>
          <w:p w14:paraId="29ABA423">
            <w:pPr>
              <w:jc w:val="center"/>
              <w:rPr>
                <w:rFonts w:ascii="宋体" w:cs="Times New Roman"/>
                <w:color w:val="auto"/>
                <w:sz w:val="24"/>
                <w:szCs w:val="24"/>
              </w:rPr>
            </w:pPr>
            <w:r>
              <w:rPr>
                <w:rFonts w:hint="eastAsia" w:ascii="宋体" w:hAnsi="宋体" w:cs="宋体"/>
                <w:color w:val="auto"/>
                <w:sz w:val="24"/>
                <w:szCs w:val="24"/>
              </w:rPr>
              <w:t>评审项目</w:t>
            </w:r>
          </w:p>
        </w:tc>
        <w:tc>
          <w:tcPr>
            <w:tcW w:w="6761" w:type="dxa"/>
            <w:noWrap w:val="0"/>
            <w:vAlign w:val="center"/>
          </w:tcPr>
          <w:p w14:paraId="62BEC546">
            <w:pPr>
              <w:jc w:val="center"/>
              <w:rPr>
                <w:rFonts w:ascii="宋体" w:cs="Times New Roman"/>
                <w:color w:val="auto"/>
                <w:sz w:val="24"/>
                <w:szCs w:val="24"/>
              </w:rPr>
            </w:pPr>
            <w:r>
              <w:rPr>
                <w:rFonts w:hint="eastAsia" w:ascii="宋体" w:hAnsi="宋体" w:cs="宋体"/>
                <w:color w:val="auto"/>
                <w:sz w:val="24"/>
                <w:szCs w:val="24"/>
              </w:rPr>
              <w:t>评审细则</w:t>
            </w:r>
          </w:p>
        </w:tc>
        <w:tc>
          <w:tcPr>
            <w:tcW w:w="874" w:type="dxa"/>
            <w:noWrap w:val="0"/>
            <w:vAlign w:val="center"/>
          </w:tcPr>
          <w:p w14:paraId="55CEF58F">
            <w:pPr>
              <w:jc w:val="center"/>
              <w:rPr>
                <w:rFonts w:ascii="宋体" w:cs="Times New Roman"/>
                <w:color w:val="auto"/>
                <w:sz w:val="24"/>
                <w:szCs w:val="24"/>
              </w:rPr>
            </w:pPr>
            <w:r>
              <w:rPr>
                <w:rFonts w:hint="eastAsia" w:ascii="宋体" w:hAnsi="宋体" w:cs="宋体"/>
                <w:color w:val="auto"/>
                <w:sz w:val="24"/>
                <w:szCs w:val="24"/>
              </w:rPr>
              <w:t>分值</w:t>
            </w:r>
          </w:p>
        </w:tc>
      </w:tr>
      <w:tr w14:paraId="4156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99" w:hRule="atLeast"/>
          <w:jc w:val="center"/>
        </w:trPr>
        <w:tc>
          <w:tcPr>
            <w:tcW w:w="667" w:type="dxa"/>
            <w:noWrap w:val="0"/>
            <w:vAlign w:val="center"/>
          </w:tcPr>
          <w:p w14:paraId="2D0B9666">
            <w:pPr>
              <w:jc w:val="center"/>
              <w:rPr>
                <w:rFonts w:ascii="宋体" w:cs="Times New Roman"/>
                <w:color w:val="auto"/>
                <w:sz w:val="24"/>
                <w:szCs w:val="24"/>
              </w:rPr>
            </w:pPr>
            <w:r>
              <w:rPr>
                <w:rFonts w:ascii="宋体" w:hAnsi="宋体" w:cs="宋体"/>
                <w:color w:val="auto"/>
                <w:sz w:val="24"/>
                <w:szCs w:val="24"/>
              </w:rPr>
              <w:t>1</w:t>
            </w:r>
          </w:p>
        </w:tc>
        <w:tc>
          <w:tcPr>
            <w:tcW w:w="1474" w:type="dxa"/>
            <w:noWrap w:val="0"/>
            <w:vAlign w:val="center"/>
          </w:tcPr>
          <w:p w14:paraId="5B862167">
            <w:pPr>
              <w:jc w:val="center"/>
              <w:rPr>
                <w:rFonts w:ascii="宋体" w:cs="Times New Roman"/>
                <w:color w:val="auto"/>
                <w:sz w:val="24"/>
                <w:szCs w:val="24"/>
              </w:rPr>
            </w:pPr>
            <w:r>
              <w:rPr>
                <w:rFonts w:hint="eastAsia" w:ascii="宋体" w:hAnsi="宋体" w:cs="宋体"/>
                <w:color w:val="auto"/>
                <w:sz w:val="24"/>
                <w:szCs w:val="24"/>
              </w:rPr>
              <w:t>企业</w:t>
            </w:r>
            <w:r>
              <w:rPr>
                <w:rFonts w:hint="eastAsia" w:ascii="宋体" w:hAnsi="宋体" w:cs="宋体"/>
                <w:color w:val="auto"/>
                <w:sz w:val="24"/>
                <w:szCs w:val="24"/>
                <w:lang w:eastAsia="zh-CN"/>
              </w:rPr>
              <w:t>资质</w:t>
            </w:r>
            <w:r>
              <w:rPr>
                <w:rFonts w:hint="eastAsia" w:ascii="宋体" w:hAnsi="宋体" w:cs="宋体"/>
                <w:color w:val="auto"/>
                <w:sz w:val="24"/>
                <w:szCs w:val="24"/>
              </w:rPr>
              <w:t>情况</w:t>
            </w:r>
          </w:p>
        </w:tc>
        <w:tc>
          <w:tcPr>
            <w:tcW w:w="6761" w:type="dxa"/>
            <w:noWrap w:val="0"/>
            <w:vAlign w:val="center"/>
          </w:tcPr>
          <w:p w14:paraId="4B75C6FC">
            <w:pPr>
              <w:rPr>
                <w:rFonts w:ascii="宋体" w:cs="Times New Roman"/>
                <w:color w:val="auto"/>
                <w:sz w:val="24"/>
                <w:szCs w:val="24"/>
              </w:rPr>
            </w:pPr>
            <w:r>
              <w:rPr>
                <w:rFonts w:hint="eastAsia" w:ascii="宋体" w:hAnsi="宋体" w:cs="宋体"/>
                <w:color w:val="auto"/>
                <w:sz w:val="24"/>
                <w:szCs w:val="24"/>
              </w:rPr>
              <w:t>投标人具有有效期内的以下证书：</w:t>
            </w:r>
          </w:p>
          <w:p w14:paraId="55E6F140">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lang w:val="en-US" w:eastAsia="zh-CN"/>
              </w:rPr>
              <w:t>营业执照等资质证书；</w:t>
            </w:r>
          </w:p>
          <w:p w14:paraId="639D2C57">
            <w:pPr>
              <w:jc w:val="left"/>
              <w:rPr>
                <w:rFonts w:ascii="宋体" w:cs="Times New Roman"/>
                <w:color w:val="auto"/>
                <w:sz w:val="24"/>
                <w:szCs w:val="24"/>
              </w:rPr>
            </w:pPr>
            <w:r>
              <w:rPr>
                <w:rFonts w:hint="eastAsia" w:ascii="宋体" w:hAnsi="宋体" w:cs="宋体"/>
                <w:color w:val="auto"/>
                <w:sz w:val="24"/>
                <w:szCs w:val="24"/>
              </w:rPr>
              <w:t>提供的证明材料：有效期内的证书复印件及</w:t>
            </w:r>
            <w:r>
              <w:rPr>
                <w:rFonts w:hint="eastAsia" w:ascii="宋体" w:hAnsi="宋体" w:cs="宋体"/>
                <w:color w:val="auto"/>
                <w:sz w:val="24"/>
                <w:szCs w:val="24"/>
                <w:lang w:eastAsia="zh-CN"/>
              </w:rPr>
              <w:t>相关</w:t>
            </w:r>
            <w:r>
              <w:rPr>
                <w:rFonts w:hint="eastAsia" w:ascii="宋体" w:hAnsi="宋体" w:cs="宋体"/>
                <w:color w:val="auto"/>
                <w:sz w:val="24"/>
                <w:szCs w:val="24"/>
              </w:rPr>
              <w:t>查证截图。</w:t>
            </w:r>
          </w:p>
        </w:tc>
        <w:tc>
          <w:tcPr>
            <w:tcW w:w="874" w:type="dxa"/>
            <w:noWrap w:val="0"/>
            <w:vAlign w:val="center"/>
          </w:tcPr>
          <w:p w14:paraId="36415600">
            <w:pPr>
              <w:jc w:val="center"/>
              <w:rPr>
                <w:rFonts w:hint="eastAsia" w:ascii="宋体" w:eastAsia="宋体" w:cs="Times New Roman"/>
                <w:color w:val="auto"/>
                <w:sz w:val="24"/>
                <w:szCs w:val="24"/>
                <w:lang w:val="en-US" w:eastAsia="zh-CN"/>
              </w:rPr>
            </w:pPr>
            <w:r>
              <w:rPr>
                <w:rFonts w:hint="eastAsia" w:ascii="宋体" w:cs="Times New Roman"/>
                <w:color w:val="auto"/>
                <w:sz w:val="24"/>
                <w:szCs w:val="24"/>
                <w:lang w:val="en-US" w:eastAsia="zh-CN"/>
              </w:rPr>
              <w:t>2</w:t>
            </w:r>
          </w:p>
        </w:tc>
      </w:tr>
      <w:tr w14:paraId="2C7A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1" w:hRule="atLeast"/>
          <w:jc w:val="center"/>
        </w:trPr>
        <w:tc>
          <w:tcPr>
            <w:tcW w:w="667" w:type="dxa"/>
            <w:noWrap w:val="0"/>
            <w:vAlign w:val="center"/>
          </w:tcPr>
          <w:p w14:paraId="3AA88452">
            <w:pPr>
              <w:jc w:val="center"/>
              <w:rPr>
                <w:rFonts w:ascii="宋体" w:cs="Times New Roman"/>
                <w:color w:val="auto"/>
                <w:sz w:val="24"/>
                <w:szCs w:val="24"/>
              </w:rPr>
            </w:pPr>
            <w:r>
              <w:rPr>
                <w:rFonts w:ascii="宋体" w:hAnsi="宋体" w:cs="宋体"/>
                <w:color w:val="auto"/>
                <w:sz w:val="24"/>
                <w:szCs w:val="24"/>
              </w:rPr>
              <w:t>2</w:t>
            </w:r>
          </w:p>
        </w:tc>
        <w:tc>
          <w:tcPr>
            <w:tcW w:w="1474" w:type="dxa"/>
            <w:noWrap w:val="0"/>
            <w:vAlign w:val="center"/>
          </w:tcPr>
          <w:p w14:paraId="73382106">
            <w:pPr>
              <w:jc w:val="center"/>
              <w:rPr>
                <w:rFonts w:ascii="宋体" w:cs="Times New Roman"/>
                <w:color w:val="auto"/>
                <w:sz w:val="24"/>
                <w:szCs w:val="24"/>
              </w:rPr>
            </w:pPr>
            <w:r>
              <w:rPr>
                <w:rFonts w:hint="eastAsia" w:ascii="宋体" w:hAnsi="宋体" w:cs="宋体"/>
                <w:color w:val="auto"/>
                <w:sz w:val="24"/>
                <w:szCs w:val="24"/>
              </w:rPr>
              <w:t>运输能力</w:t>
            </w:r>
          </w:p>
        </w:tc>
        <w:tc>
          <w:tcPr>
            <w:tcW w:w="6761" w:type="dxa"/>
            <w:noWrap w:val="0"/>
            <w:vAlign w:val="center"/>
          </w:tcPr>
          <w:p w14:paraId="53F3466E">
            <w:pPr>
              <w:rPr>
                <w:rFonts w:ascii="宋体" w:cs="Times New Roman"/>
                <w:color w:val="auto"/>
                <w:sz w:val="24"/>
                <w:szCs w:val="24"/>
              </w:rPr>
            </w:pPr>
            <w:r>
              <w:rPr>
                <w:rFonts w:hint="eastAsia" w:ascii="宋体" w:hAnsi="宋体" w:cs="宋体"/>
                <w:color w:val="auto"/>
                <w:sz w:val="24"/>
                <w:szCs w:val="24"/>
              </w:rPr>
              <w:t>投标人每提供一辆食材冷链</w:t>
            </w:r>
            <w:r>
              <w:rPr>
                <w:rFonts w:hint="eastAsia" w:ascii="宋体" w:hAnsi="宋体" w:cs="宋体"/>
                <w:color w:val="auto"/>
                <w:sz w:val="24"/>
                <w:szCs w:val="24"/>
                <w:lang w:eastAsia="zh-CN"/>
              </w:rPr>
              <w:t>及其他专用</w:t>
            </w:r>
            <w:r>
              <w:rPr>
                <w:rFonts w:hint="eastAsia" w:ascii="宋体" w:hAnsi="宋体" w:cs="宋体"/>
                <w:color w:val="auto"/>
                <w:sz w:val="24"/>
                <w:szCs w:val="24"/>
              </w:rPr>
              <w:t>配送车辆，得</w:t>
            </w:r>
            <w:r>
              <w:rPr>
                <w:rFonts w:ascii="宋体" w:hAnsi="宋体" w:cs="宋体"/>
                <w:color w:val="auto"/>
                <w:sz w:val="24"/>
                <w:szCs w:val="24"/>
              </w:rPr>
              <w:t>1</w:t>
            </w:r>
            <w:r>
              <w:rPr>
                <w:rFonts w:hint="eastAsia" w:ascii="宋体" w:hAnsi="宋体" w:cs="宋体"/>
                <w:color w:val="auto"/>
                <w:sz w:val="24"/>
                <w:szCs w:val="24"/>
              </w:rPr>
              <w:t>分；本项目累计最高</w:t>
            </w:r>
            <w:r>
              <w:rPr>
                <w:rFonts w:hint="eastAsia" w:ascii="宋体" w:hAnsi="宋体" w:cs="宋体"/>
                <w:color w:val="auto"/>
                <w:sz w:val="24"/>
                <w:szCs w:val="24"/>
                <w:lang w:val="en-US" w:eastAsia="zh-CN"/>
              </w:rPr>
              <w:t>4</w:t>
            </w:r>
            <w:r>
              <w:rPr>
                <w:rFonts w:hint="eastAsia" w:ascii="宋体" w:hAnsi="宋体" w:cs="宋体"/>
                <w:color w:val="auto"/>
                <w:sz w:val="24"/>
                <w:szCs w:val="24"/>
              </w:rPr>
              <w:t>分；</w:t>
            </w:r>
          </w:p>
          <w:p w14:paraId="18EF0F62">
            <w:pPr>
              <w:rPr>
                <w:rFonts w:ascii="宋体" w:cs="Times New Roman"/>
                <w:color w:val="auto"/>
                <w:sz w:val="24"/>
                <w:szCs w:val="24"/>
              </w:rPr>
            </w:pPr>
            <w:r>
              <w:rPr>
                <w:rFonts w:hint="eastAsia" w:ascii="宋体" w:hAnsi="宋体" w:cs="宋体"/>
                <w:color w:val="auto"/>
                <w:sz w:val="24"/>
                <w:szCs w:val="24"/>
              </w:rPr>
              <w:t>证明材料：需提供购买发票或租赁合同，同时提供有效年审的《机动车行驶证》复印件、车辆温度校准证书及能同时看清车牌和车厢的照片。提供完整材料方可计分，不完整不得分。</w:t>
            </w:r>
          </w:p>
        </w:tc>
        <w:tc>
          <w:tcPr>
            <w:tcW w:w="874" w:type="dxa"/>
            <w:noWrap w:val="0"/>
            <w:vAlign w:val="center"/>
          </w:tcPr>
          <w:p w14:paraId="533C3125">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4</w:t>
            </w:r>
          </w:p>
        </w:tc>
      </w:tr>
      <w:tr w14:paraId="3681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90" w:hRule="atLeast"/>
          <w:jc w:val="center"/>
        </w:trPr>
        <w:tc>
          <w:tcPr>
            <w:tcW w:w="667" w:type="dxa"/>
            <w:noWrap w:val="0"/>
            <w:vAlign w:val="center"/>
          </w:tcPr>
          <w:p w14:paraId="3D10E030">
            <w:pPr>
              <w:jc w:val="center"/>
              <w:rPr>
                <w:rFonts w:ascii="宋体" w:cs="Times New Roman"/>
                <w:color w:val="auto"/>
                <w:sz w:val="24"/>
                <w:szCs w:val="24"/>
              </w:rPr>
            </w:pPr>
            <w:r>
              <w:rPr>
                <w:rFonts w:ascii="宋体" w:hAnsi="宋体" w:cs="宋体"/>
                <w:color w:val="auto"/>
                <w:sz w:val="24"/>
                <w:szCs w:val="24"/>
              </w:rPr>
              <w:t>3</w:t>
            </w:r>
          </w:p>
        </w:tc>
        <w:tc>
          <w:tcPr>
            <w:tcW w:w="1474" w:type="dxa"/>
            <w:noWrap w:val="0"/>
            <w:vAlign w:val="center"/>
          </w:tcPr>
          <w:p w14:paraId="1288F4B4">
            <w:pPr>
              <w:jc w:val="center"/>
              <w:rPr>
                <w:rFonts w:ascii="宋体" w:cs="Times New Roman"/>
                <w:color w:val="auto"/>
                <w:sz w:val="24"/>
                <w:szCs w:val="24"/>
              </w:rPr>
            </w:pPr>
            <w:r>
              <w:rPr>
                <w:rFonts w:hint="eastAsia" w:ascii="宋体" w:hAnsi="宋体" w:cs="宋体"/>
                <w:color w:val="auto"/>
                <w:sz w:val="24"/>
                <w:szCs w:val="24"/>
              </w:rPr>
              <w:t>配送场地</w:t>
            </w:r>
          </w:p>
        </w:tc>
        <w:tc>
          <w:tcPr>
            <w:tcW w:w="6761" w:type="dxa"/>
            <w:noWrap w:val="0"/>
            <w:vAlign w:val="center"/>
          </w:tcPr>
          <w:p w14:paraId="70E86A7C">
            <w:pPr>
              <w:rPr>
                <w:rFonts w:ascii="宋体" w:cs="Times New Roman"/>
                <w:color w:val="auto"/>
                <w:sz w:val="24"/>
                <w:szCs w:val="24"/>
              </w:rPr>
            </w:pPr>
            <w:r>
              <w:rPr>
                <w:rFonts w:hint="eastAsia" w:ascii="宋体" w:hAnsi="宋体" w:cs="宋体"/>
                <w:color w:val="auto"/>
                <w:sz w:val="24"/>
                <w:szCs w:val="24"/>
              </w:rPr>
              <w:t>投标人自有或租赁的配送场地：</w:t>
            </w:r>
          </w:p>
          <w:p w14:paraId="7A519B0A">
            <w:pPr>
              <w:rPr>
                <w:rFonts w:ascii="宋体" w:cs="Times New Roman"/>
                <w:color w:val="auto"/>
                <w:sz w:val="24"/>
                <w:szCs w:val="24"/>
              </w:rPr>
            </w:pPr>
            <w:r>
              <w:rPr>
                <w:rFonts w:hint="eastAsia" w:ascii="宋体" w:hAnsi="宋体" w:cs="宋体"/>
                <w:color w:val="auto"/>
                <w:sz w:val="24"/>
                <w:szCs w:val="24"/>
              </w:rPr>
              <w:t>配送场地</w:t>
            </w:r>
            <w:r>
              <w:rPr>
                <w:rFonts w:hint="eastAsia" w:ascii="宋体" w:hAnsi="宋体" w:cs="宋体"/>
                <w:color w:val="auto"/>
                <w:sz w:val="24"/>
                <w:szCs w:val="24"/>
                <w:lang w:eastAsia="zh-CN"/>
              </w:rPr>
              <w:t>或经营</w:t>
            </w:r>
            <w:r>
              <w:rPr>
                <w:rFonts w:hint="eastAsia" w:ascii="宋体" w:hAnsi="宋体" w:cs="宋体"/>
                <w:color w:val="auto"/>
                <w:sz w:val="24"/>
                <w:szCs w:val="24"/>
              </w:rPr>
              <w:t>大小≥</w:t>
            </w:r>
            <w:r>
              <w:rPr>
                <w:rFonts w:hint="eastAsia" w:ascii="宋体" w:hAnsi="宋体" w:cs="宋体"/>
                <w:color w:val="auto"/>
                <w:sz w:val="24"/>
                <w:szCs w:val="24"/>
                <w:lang w:val="en-US" w:eastAsia="zh-CN"/>
              </w:rPr>
              <w:t>1000</w:t>
            </w:r>
            <w:r>
              <w:rPr>
                <w:rFonts w:hint="eastAsia" w:ascii="宋体" w:hAnsi="宋体" w:cs="宋体"/>
                <w:color w:val="auto"/>
                <w:sz w:val="24"/>
                <w:szCs w:val="24"/>
              </w:rPr>
              <w:t>平方米，得</w:t>
            </w:r>
            <w:r>
              <w:rPr>
                <w:rFonts w:ascii="宋体" w:hAnsi="宋体" w:cs="宋体"/>
                <w:color w:val="auto"/>
                <w:sz w:val="24"/>
                <w:szCs w:val="24"/>
              </w:rPr>
              <w:t>3</w:t>
            </w:r>
            <w:r>
              <w:rPr>
                <w:rFonts w:hint="eastAsia" w:ascii="宋体" w:hAnsi="宋体" w:cs="宋体"/>
                <w:color w:val="auto"/>
                <w:sz w:val="24"/>
                <w:szCs w:val="24"/>
              </w:rPr>
              <w:t>分；</w:t>
            </w:r>
          </w:p>
          <w:p w14:paraId="1DA3B4F8">
            <w:pPr>
              <w:rPr>
                <w:rFonts w:ascii="宋体" w:cs="Times New Roman"/>
                <w:color w:val="auto"/>
                <w:sz w:val="24"/>
                <w:szCs w:val="24"/>
              </w:rPr>
            </w:pPr>
            <w:r>
              <w:rPr>
                <w:rFonts w:hint="eastAsia" w:ascii="宋体" w:hAnsi="宋体" w:cs="宋体"/>
                <w:color w:val="auto"/>
                <w:sz w:val="24"/>
                <w:szCs w:val="24"/>
                <w:lang w:val="en-US" w:eastAsia="zh-CN"/>
              </w:rPr>
              <w:t>500</w:t>
            </w:r>
            <w:r>
              <w:rPr>
                <w:rFonts w:hint="eastAsia" w:ascii="宋体" w:hAnsi="宋体" w:cs="宋体"/>
                <w:color w:val="auto"/>
                <w:sz w:val="24"/>
                <w:szCs w:val="24"/>
              </w:rPr>
              <w:t>平方米≤配送场地大小</w:t>
            </w:r>
            <w:r>
              <w:rPr>
                <w:rFonts w:ascii="宋体" w:hAnsi="宋体" w:cs="宋体"/>
                <w:color w:val="auto"/>
                <w:sz w:val="24"/>
                <w:szCs w:val="24"/>
              </w:rPr>
              <w:t>&lt;</w:t>
            </w:r>
            <w:r>
              <w:rPr>
                <w:rFonts w:hint="eastAsia" w:ascii="宋体" w:hAnsi="宋体" w:cs="宋体"/>
                <w:color w:val="auto"/>
                <w:sz w:val="24"/>
                <w:szCs w:val="24"/>
                <w:lang w:val="en-US" w:eastAsia="zh-CN"/>
              </w:rPr>
              <w:t>1000</w:t>
            </w:r>
            <w:r>
              <w:rPr>
                <w:rFonts w:hint="eastAsia" w:ascii="宋体" w:hAnsi="宋体" w:cs="宋体"/>
                <w:color w:val="auto"/>
                <w:sz w:val="24"/>
                <w:szCs w:val="24"/>
              </w:rPr>
              <w:t>平方米，得</w:t>
            </w:r>
            <w:r>
              <w:rPr>
                <w:rFonts w:ascii="宋体" w:hAnsi="宋体" w:cs="宋体"/>
                <w:color w:val="auto"/>
                <w:sz w:val="24"/>
                <w:szCs w:val="24"/>
              </w:rPr>
              <w:t>2</w:t>
            </w:r>
            <w:r>
              <w:rPr>
                <w:rFonts w:hint="eastAsia" w:ascii="宋体" w:hAnsi="宋体" w:cs="宋体"/>
                <w:color w:val="auto"/>
                <w:sz w:val="24"/>
                <w:szCs w:val="24"/>
              </w:rPr>
              <w:t>分；</w:t>
            </w:r>
          </w:p>
          <w:p w14:paraId="00D70501">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00</w:t>
            </w:r>
            <w:r>
              <w:rPr>
                <w:rFonts w:hint="eastAsia" w:ascii="宋体" w:hAnsi="宋体" w:cs="宋体"/>
                <w:color w:val="auto"/>
                <w:sz w:val="24"/>
                <w:szCs w:val="24"/>
              </w:rPr>
              <w:t>平方米≤配送场地大小</w:t>
            </w:r>
            <w:r>
              <w:rPr>
                <w:rFonts w:ascii="宋体" w:hAnsi="宋体" w:cs="宋体"/>
                <w:color w:val="auto"/>
                <w:sz w:val="24"/>
                <w:szCs w:val="24"/>
              </w:rPr>
              <w:t>&lt;</w:t>
            </w:r>
            <w:r>
              <w:rPr>
                <w:rFonts w:hint="eastAsia" w:ascii="宋体" w:hAnsi="宋体" w:cs="宋体"/>
                <w:color w:val="auto"/>
                <w:sz w:val="24"/>
                <w:szCs w:val="24"/>
                <w:lang w:val="en-US" w:eastAsia="zh-CN"/>
              </w:rPr>
              <w:t>500</w:t>
            </w:r>
            <w:r>
              <w:rPr>
                <w:rFonts w:hint="eastAsia" w:ascii="宋体" w:hAnsi="宋体" w:cs="宋体"/>
                <w:color w:val="auto"/>
                <w:sz w:val="24"/>
                <w:szCs w:val="24"/>
              </w:rPr>
              <w:t>平方米，得</w:t>
            </w:r>
            <w:r>
              <w:rPr>
                <w:rFonts w:ascii="宋体" w:hAnsi="宋体" w:cs="宋体"/>
                <w:color w:val="auto"/>
                <w:sz w:val="24"/>
                <w:szCs w:val="24"/>
              </w:rPr>
              <w:t>1</w:t>
            </w:r>
            <w:r>
              <w:rPr>
                <w:rFonts w:hint="eastAsia" w:ascii="宋体" w:hAnsi="宋体" w:cs="宋体"/>
                <w:color w:val="auto"/>
                <w:sz w:val="24"/>
                <w:szCs w:val="24"/>
              </w:rPr>
              <w:t>分；</w:t>
            </w:r>
          </w:p>
          <w:p w14:paraId="5113D61F">
            <w:pPr>
              <w:rPr>
                <w:rFonts w:ascii="宋体" w:cs="Times New Roman"/>
                <w:color w:val="auto"/>
                <w:sz w:val="24"/>
                <w:szCs w:val="24"/>
              </w:rPr>
            </w:pPr>
            <w:r>
              <w:rPr>
                <w:rFonts w:hint="eastAsia" w:ascii="宋体" w:hAnsi="宋体" w:cs="宋体"/>
                <w:color w:val="auto"/>
                <w:sz w:val="24"/>
                <w:szCs w:val="24"/>
              </w:rPr>
              <w:t>配送场地</w:t>
            </w:r>
            <w:r>
              <w:rPr>
                <w:rFonts w:hint="eastAsia" w:ascii="宋体" w:hAnsi="宋体" w:cs="宋体"/>
                <w:color w:val="auto"/>
                <w:sz w:val="24"/>
                <w:szCs w:val="24"/>
                <w:lang w:eastAsia="zh-CN"/>
              </w:rPr>
              <w:t>或经营场地</w:t>
            </w:r>
            <w:r>
              <w:rPr>
                <w:rFonts w:ascii="宋体" w:hAnsi="宋体" w:cs="宋体"/>
                <w:color w:val="auto"/>
                <w:sz w:val="24"/>
                <w:szCs w:val="24"/>
              </w:rPr>
              <w:t>&lt;</w:t>
            </w:r>
            <w:r>
              <w:rPr>
                <w:rFonts w:hint="eastAsia" w:ascii="宋体" w:hAnsi="宋体" w:cs="宋体"/>
                <w:color w:val="auto"/>
                <w:sz w:val="24"/>
                <w:szCs w:val="24"/>
                <w:lang w:val="en-US" w:eastAsia="zh-CN"/>
              </w:rPr>
              <w:t>1</w:t>
            </w:r>
            <w:r>
              <w:rPr>
                <w:rFonts w:ascii="宋体" w:hAnsi="宋体" w:cs="宋体"/>
                <w:color w:val="auto"/>
                <w:sz w:val="24"/>
                <w:szCs w:val="24"/>
              </w:rPr>
              <w:t>00</w:t>
            </w:r>
            <w:r>
              <w:rPr>
                <w:rFonts w:hint="eastAsia" w:ascii="宋体" w:hAnsi="宋体" w:cs="宋体"/>
                <w:color w:val="auto"/>
                <w:sz w:val="24"/>
                <w:szCs w:val="24"/>
              </w:rPr>
              <w:t>平方米或没有的，不得分。</w:t>
            </w:r>
          </w:p>
          <w:p w14:paraId="3E8956AC">
            <w:pPr>
              <w:rPr>
                <w:rFonts w:ascii="宋体" w:cs="Times New Roman"/>
                <w:color w:val="auto"/>
                <w:sz w:val="24"/>
                <w:szCs w:val="24"/>
              </w:rPr>
            </w:pPr>
            <w:r>
              <w:rPr>
                <w:rFonts w:hint="eastAsia" w:ascii="宋体" w:hAnsi="宋体" w:cs="宋体"/>
                <w:color w:val="auto"/>
                <w:sz w:val="24"/>
                <w:szCs w:val="24"/>
              </w:rPr>
              <w:t>注：须提供产权证明复印件或租赁合同复印件，否则得</w:t>
            </w:r>
            <w:r>
              <w:rPr>
                <w:rFonts w:ascii="宋体" w:cs="宋体"/>
                <w:color w:val="auto"/>
                <w:sz w:val="24"/>
                <w:szCs w:val="24"/>
              </w:rPr>
              <w:t>0</w:t>
            </w:r>
            <w:r>
              <w:rPr>
                <w:rFonts w:hint="eastAsia" w:ascii="宋体" w:hAnsi="宋体" w:cs="宋体"/>
                <w:color w:val="auto"/>
                <w:sz w:val="24"/>
                <w:szCs w:val="24"/>
              </w:rPr>
              <w:t>分。证明材料需能够体现面积大小，面积单位不同的，投标人须在投标人文件中自行换算成评审单位。非投标人名义租赁的配送场地不计算在内。</w:t>
            </w:r>
          </w:p>
        </w:tc>
        <w:tc>
          <w:tcPr>
            <w:tcW w:w="874" w:type="dxa"/>
            <w:noWrap w:val="0"/>
            <w:vAlign w:val="center"/>
          </w:tcPr>
          <w:p w14:paraId="14DE4B51">
            <w:pPr>
              <w:jc w:val="center"/>
              <w:rPr>
                <w:rFonts w:ascii="宋体" w:cs="Times New Roman"/>
                <w:color w:val="auto"/>
                <w:sz w:val="24"/>
                <w:szCs w:val="24"/>
              </w:rPr>
            </w:pPr>
            <w:r>
              <w:rPr>
                <w:rFonts w:ascii="宋体" w:hAnsi="宋体" w:cs="宋体"/>
                <w:color w:val="auto"/>
                <w:sz w:val="24"/>
                <w:szCs w:val="24"/>
              </w:rPr>
              <w:t>3</w:t>
            </w:r>
          </w:p>
        </w:tc>
      </w:tr>
      <w:tr w14:paraId="45D0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96" w:hRule="atLeast"/>
          <w:jc w:val="center"/>
        </w:trPr>
        <w:tc>
          <w:tcPr>
            <w:tcW w:w="667" w:type="dxa"/>
            <w:noWrap w:val="0"/>
            <w:vAlign w:val="center"/>
          </w:tcPr>
          <w:p w14:paraId="2EA2E888">
            <w:pPr>
              <w:jc w:val="center"/>
              <w:rPr>
                <w:rFonts w:ascii="宋体" w:cs="Times New Roman"/>
                <w:color w:val="auto"/>
                <w:sz w:val="24"/>
                <w:szCs w:val="24"/>
              </w:rPr>
            </w:pPr>
            <w:r>
              <w:rPr>
                <w:rFonts w:ascii="宋体" w:hAnsi="宋体" w:cs="宋体"/>
                <w:color w:val="auto"/>
                <w:sz w:val="24"/>
                <w:szCs w:val="24"/>
              </w:rPr>
              <w:t>5</w:t>
            </w:r>
          </w:p>
        </w:tc>
        <w:tc>
          <w:tcPr>
            <w:tcW w:w="1474" w:type="dxa"/>
            <w:noWrap w:val="0"/>
            <w:vAlign w:val="center"/>
          </w:tcPr>
          <w:p w14:paraId="48E7E87F">
            <w:pPr>
              <w:jc w:val="center"/>
              <w:rPr>
                <w:rFonts w:ascii="宋体" w:cs="Times New Roman"/>
                <w:color w:val="auto"/>
                <w:sz w:val="24"/>
                <w:szCs w:val="24"/>
              </w:rPr>
            </w:pPr>
            <w:r>
              <w:rPr>
                <w:rFonts w:hint="eastAsia" w:ascii="宋体" w:hAnsi="宋体" w:cs="宋体"/>
                <w:color w:val="auto"/>
                <w:sz w:val="24"/>
                <w:szCs w:val="24"/>
              </w:rPr>
              <w:t>同类项目业绩</w:t>
            </w:r>
          </w:p>
        </w:tc>
        <w:tc>
          <w:tcPr>
            <w:tcW w:w="6761" w:type="dxa"/>
            <w:noWrap w:val="0"/>
            <w:vAlign w:val="center"/>
          </w:tcPr>
          <w:p w14:paraId="170A97A1">
            <w:pPr>
              <w:jc w:val="left"/>
              <w:rPr>
                <w:rFonts w:ascii="宋体" w:cs="Times New Roman"/>
                <w:color w:val="auto"/>
                <w:sz w:val="24"/>
                <w:szCs w:val="24"/>
              </w:rPr>
            </w:pPr>
            <w:r>
              <w:rPr>
                <w:rFonts w:hint="eastAsia" w:ascii="宋体" w:hAnsi="宋体" w:cs="宋体"/>
                <w:color w:val="auto"/>
                <w:sz w:val="24"/>
                <w:szCs w:val="24"/>
              </w:rPr>
              <w:t>根据投标人自</w:t>
            </w:r>
            <w:r>
              <w:rPr>
                <w:rFonts w:ascii="宋体" w:hAnsi="宋体" w:cs="宋体"/>
                <w:color w:val="auto"/>
                <w:sz w:val="24"/>
                <w:szCs w:val="24"/>
              </w:rPr>
              <w:t>2019</w:t>
            </w:r>
            <w:r>
              <w:rPr>
                <w:rFonts w:hint="eastAsia" w:ascii="宋体" w:hAnsi="宋体" w:cs="宋体"/>
                <w:color w:val="auto"/>
                <w:sz w:val="24"/>
                <w:szCs w:val="24"/>
              </w:rPr>
              <w:t>年</w:t>
            </w:r>
            <w:r>
              <w:rPr>
                <w:rFonts w:ascii="宋体" w:hAnsi="宋体" w:cs="宋体"/>
                <w:color w:val="auto"/>
                <w:sz w:val="24"/>
                <w:szCs w:val="24"/>
              </w:rPr>
              <w:t>1</w:t>
            </w:r>
            <w:r>
              <w:rPr>
                <w:rFonts w:hint="eastAsia" w:ascii="宋体" w:hAnsi="宋体" w:cs="宋体"/>
                <w:color w:val="auto"/>
                <w:sz w:val="24"/>
                <w:szCs w:val="24"/>
              </w:rPr>
              <w:t>月</w:t>
            </w:r>
            <w:r>
              <w:rPr>
                <w:rFonts w:ascii="宋体" w:hAnsi="宋体" w:cs="宋体"/>
                <w:color w:val="auto"/>
                <w:sz w:val="24"/>
                <w:szCs w:val="24"/>
              </w:rPr>
              <w:t>1</w:t>
            </w:r>
            <w:r>
              <w:rPr>
                <w:rFonts w:hint="eastAsia" w:ascii="宋体" w:hAnsi="宋体" w:cs="宋体"/>
                <w:color w:val="auto"/>
                <w:sz w:val="24"/>
                <w:szCs w:val="24"/>
              </w:rPr>
              <w:t>日起至本项目投标文件截止时间止承接同类配送项目业绩进行评分：</w:t>
            </w:r>
          </w:p>
          <w:p w14:paraId="028C95D8">
            <w:pPr>
              <w:jc w:val="left"/>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、每提供</w:t>
            </w:r>
            <w:r>
              <w:rPr>
                <w:rFonts w:ascii="宋体" w:hAnsi="宋体" w:cs="宋体"/>
                <w:color w:val="auto"/>
                <w:sz w:val="24"/>
                <w:szCs w:val="24"/>
              </w:rPr>
              <w:t>1</w:t>
            </w:r>
            <w:r>
              <w:rPr>
                <w:rFonts w:hint="eastAsia" w:ascii="宋体" w:hAnsi="宋体" w:cs="宋体"/>
                <w:color w:val="auto"/>
                <w:sz w:val="24"/>
                <w:szCs w:val="24"/>
              </w:rPr>
              <w:t>个业绩的，得</w:t>
            </w:r>
            <w:r>
              <w:rPr>
                <w:rFonts w:ascii="宋体" w:hAnsi="宋体" w:cs="宋体"/>
                <w:color w:val="auto"/>
                <w:sz w:val="24"/>
                <w:szCs w:val="24"/>
              </w:rPr>
              <w:t>0.5</w:t>
            </w:r>
            <w:r>
              <w:rPr>
                <w:rFonts w:hint="eastAsia" w:ascii="宋体" w:hAnsi="宋体" w:cs="宋体"/>
                <w:color w:val="auto"/>
                <w:sz w:val="24"/>
                <w:szCs w:val="24"/>
              </w:rPr>
              <w:t>分，本项最高得</w:t>
            </w:r>
            <w:r>
              <w:rPr>
                <w:rFonts w:ascii="宋体" w:hAnsi="宋体" w:cs="宋体"/>
                <w:color w:val="auto"/>
                <w:sz w:val="24"/>
                <w:szCs w:val="24"/>
              </w:rPr>
              <w:t>2</w:t>
            </w:r>
            <w:r>
              <w:rPr>
                <w:rFonts w:hint="eastAsia" w:ascii="宋体" w:hAnsi="宋体" w:cs="宋体"/>
                <w:color w:val="auto"/>
                <w:sz w:val="24"/>
                <w:szCs w:val="24"/>
              </w:rPr>
              <w:t>分。</w:t>
            </w:r>
          </w:p>
          <w:p w14:paraId="27545CB2">
            <w:pPr>
              <w:jc w:val="left"/>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、没有业绩或没有按要求提供完整的业绩证明材料的不得分。</w:t>
            </w:r>
          </w:p>
          <w:p w14:paraId="3E83D12D">
            <w:pPr>
              <w:pStyle w:val="3"/>
              <w:jc w:val="left"/>
              <w:rPr>
                <w:rFonts w:ascii="宋体" w:cs="Times New Roman"/>
                <w:b w:val="0"/>
                <w:bCs w:val="0"/>
                <w:color w:val="auto"/>
                <w:sz w:val="24"/>
                <w:szCs w:val="24"/>
              </w:rPr>
            </w:pPr>
            <w:r>
              <w:rPr>
                <w:rFonts w:hint="eastAsia" w:ascii="宋体" w:hAnsi="宋体" w:cs="宋体"/>
                <w:b w:val="0"/>
                <w:bCs w:val="0"/>
                <w:color w:val="auto"/>
                <w:sz w:val="24"/>
                <w:szCs w:val="24"/>
              </w:rPr>
              <w:t>有效业绩的时间认定以签订合同或协议时间为准。须提供的合同或协议复印，未按要求提供或资料不全不得分。</w:t>
            </w:r>
          </w:p>
        </w:tc>
        <w:tc>
          <w:tcPr>
            <w:tcW w:w="874" w:type="dxa"/>
            <w:noWrap w:val="0"/>
            <w:vAlign w:val="center"/>
          </w:tcPr>
          <w:p w14:paraId="499986D7">
            <w:pPr>
              <w:jc w:val="center"/>
              <w:rPr>
                <w:rFonts w:ascii="宋体" w:cs="Times New Roman"/>
                <w:color w:val="auto"/>
                <w:sz w:val="24"/>
                <w:szCs w:val="24"/>
              </w:rPr>
            </w:pPr>
            <w:r>
              <w:rPr>
                <w:rFonts w:ascii="宋体" w:hAnsi="宋体" w:cs="宋体"/>
                <w:color w:val="auto"/>
                <w:sz w:val="24"/>
                <w:szCs w:val="24"/>
              </w:rPr>
              <w:t>2</w:t>
            </w:r>
          </w:p>
        </w:tc>
      </w:tr>
      <w:tr w14:paraId="16DB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8" w:hRule="atLeast"/>
          <w:jc w:val="center"/>
        </w:trPr>
        <w:tc>
          <w:tcPr>
            <w:tcW w:w="667" w:type="dxa"/>
            <w:noWrap w:val="0"/>
            <w:vAlign w:val="center"/>
          </w:tcPr>
          <w:p w14:paraId="335F2C79">
            <w:pPr>
              <w:jc w:val="center"/>
              <w:rPr>
                <w:rFonts w:ascii="宋体" w:cs="Times New Roman"/>
                <w:color w:val="auto"/>
                <w:sz w:val="24"/>
                <w:szCs w:val="24"/>
              </w:rPr>
            </w:pPr>
            <w:r>
              <w:rPr>
                <w:rFonts w:ascii="宋体" w:hAnsi="宋体" w:cs="宋体"/>
                <w:color w:val="auto"/>
                <w:sz w:val="24"/>
                <w:szCs w:val="24"/>
              </w:rPr>
              <w:t>6</w:t>
            </w:r>
          </w:p>
        </w:tc>
        <w:tc>
          <w:tcPr>
            <w:tcW w:w="1474" w:type="dxa"/>
            <w:noWrap w:val="0"/>
            <w:vAlign w:val="center"/>
          </w:tcPr>
          <w:p w14:paraId="6A232D19">
            <w:pPr>
              <w:jc w:val="center"/>
              <w:rPr>
                <w:rFonts w:ascii="宋体" w:cs="Times New Roman"/>
                <w:color w:val="auto"/>
                <w:sz w:val="24"/>
                <w:szCs w:val="24"/>
              </w:rPr>
            </w:pPr>
            <w:r>
              <w:rPr>
                <w:rFonts w:hint="eastAsia" w:ascii="宋体" w:hAnsi="宋体" w:cs="宋体"/>
                <w:color w:val="auto"/>
                <w:sz w:val="24"/>
                <w:szCs w:val="24"/>
              </w:rPr>
              <w:t>食品安全检测能力评价</w:t>
            </w:r>
          </w:p>
        </w:tc>
        <w:tc>
          <w:tcPr>
            <w:tcW w:w="6761" w:type="dxa"/>
            <w:noWrap w:val="0"/>
            <w:vAlign w:val="center"/>
          </w:tcPr>
          <w:p w14:paraId="6C3559FB">
            <w:pPr>
              <w:rPr>
                <w:rFonts w:ascii="宋体" w:cs="Times New Roman"/>
                <w:color w:val="auto"/>
                <w:sz w:val="24"/>
                <w:szCs w:val="24"/>
              </w:rPr>
            </w:pPr>
            <w:r>
              <w:rPr>
                <w:rFonts w:hint="eastAsia" w:ascii="宋体" w:hAnsi="宋体" w:cs="宋体"/>
                <w:color w:val="auto"/>
                <w:sz w:val="24"/>
                <w:szCs w:val="24"/>
              </w:rPr>
              <w:t>投标人具备食品安全检测能力：</w:t>
            </w:r>
          </w:p>
          <w:p w14:paraId="0F8945AD">
            <w:pPr>
              <w:rPr>
                <w:rFonts w:ascii="宋体" w:cs="Times New Roman"/>
                <w:color w:val="auto"/>
                <w:sz w:val="24"/>
                <w:szCs w:val="24"/>
              </w:rPr>
            </w:pPr>
            <w:r>
              <w:rPr>
                <w:rFonts w:hint="eastAsia" w:ascii="宋体" w:hAnsi="宋体" w:cs="宋体"/>
                <w:color w:val="auto"/>
                <w:sz w:val="24"/>
                <w:szCs w:val="24"/>
              </w:rPr>
              <w:t>根据投标人提供的自有或租赁以下检测设备进行评价：</w:t>
            </w:r>
          </w:p>
          <w:p w14:paraId="2B39664E">
            <w:pPr>
              <w:rPr>
                <w:rFonts w:ascii="宋体" w:cs="Times New Roman"/>
                <w:color w:val="auto"/>
                <w:sz w:val="24"/>
                <w:szCs w:val="24"/>
              </w:rPr>
            </w:pPr>
            <w:r>
              <w:rPr>
                <w:rFonts w:ascii="宋体" w:hAnsi="宋体" w:cs="宋体"/>
                <w:color w:val="auto"/>
                <w:sz w:val="24"/>
                <w:szCs w:val="24"/>
              </w:rPr>
              <w:t>1.</w:t>
            </w:r>
            <w:r>
              <w:rPr>
                <w:rFonts w:hint="eastAsia" w:ascii="宋体" w:hAnsi="宋体" w:cs="宋体"/>
                <w:color w:val="auto"/>
                <w:sz w:val="24"/>
                <w:szCs w:val="24"/>
              </w:rPr>
              <w:t>兽药残留检测仪，得</w:t>
            </w:r>
            <w:r>
              <w:rPr>
                <w:rFonts w:ascii="宋体" w:hAnsi="宋体" w:cs="宋体"/>
                <w:color w:val="auto"/>
                <w:sz w:val="24"/>
                <w:szCs w:val="24"/>
              </w:rPr>
              <w:t>2</w:t>
            </w:r>
            <w:r>
              <w:rPr>
                <w:rFonts w:hint="eastAsia" w:ascii="宋体" w:hAnsi="宋体" w:cs="宋体"/>
                <w:color w:val="auto"/>
                <w:sz w:val="24"/>
                <w:szCs w:val="24"/>
              </w:rPr>
              <w:t>分；</w:t>
            </w:r>
          </w:p>
          <w:p w14:paraId="7FB9DE11">
            <w:pPr>
              <w:rPr>
                <w:rFonts w:ascii="宋体" w:cs="Times New Roman"/>
                <w:color w:val="auto"/>
                <w:sz w:val="24"/>
                <w:szCs w:val="24"/>
              </w:rPr>
            </w:pPr>
            <w:r>
              <w:rPr>
                <w:rFonts w:ascii="宋体" w:hAnsi="宋体" w:cs="宋体"/>
                <w:color w:val="auto"/>
                <w:sz w:val="24"/>
                <w:szCs w:val="24"/>
              </w:rPr>
              <w:t>2.</w:t>
            </w:r>
            <w:r>
              <w:rPr>
                <w:rFonts w:hint="eastAsia" w:ascii="宋体" w:hAnsi="宋体" w:cs="宋体"/>
                <w:color w:val="auto"/>
                <w:sz w:val="24"/>
                <w:szCs w:val="24"/>
              </w:rPr>
              <w:t>生物显微镜，得</w:t>
            </w:r>
            <w:r>
              <w:rPr>
                <w:rFonts w:ascii="宋体" w:hAnsi="宋体" w:cs="宋体"/>
                <w:color w:val="auto"/>
                <w:sz w:val="24"/>
                <w:szCs w:val="24"/>
              </w:rPr>
              <w:t>2</w:t>
            </w:r>
            <w:r>
              <w:rPr>
                <w:rFonts w:hint="eastAsia" w:ascii="宋体" w:hAnsi="宋体" w:cs="宋体"/>
                <w:color w:val="auto"/>
                <w:sz w:val="24"/>
                <w:szCs w:val="24"/>
              </w:rPr>
              <w:t>分；</w:t>
            </w:r>
          </w:p>
          <w:p w14:paraId="5AFE9FDE">
            <w:pPr>
              <w:rPr>
                <w:rFonts w:ascii="宋体" w:cs="Times New Roman"/>
                <w:color w:val="auto"/>
                <w:sz w:val="24"/>
                <w:szCs w:val="24"/>
              </w:rPr>
            </w:pPr>
            <w:r>
              <w:rPr>
                <w:rFonts w:ascii="宋体" w:hAnsi="宋体" w:cs="宋体"/>
                <w:color w:val="auto"/>
                <w:sz w:val="24"/>
                <w:szCs w:val="24"/>
              </w:rPr>
              <w:t>3.</w:t>
            </w:r>
            <w:r>
              <w:rPr>
                <w:rFonts w:hint="eastAsia" w:ascii="宋体" w:hAnsi="宋体" w:cs="宋体"/>
                <w:color w:val="auto"/>
                <w:sz w:val="24"/>
                <w:szCs w:val="24"/>
              </w:rPr>
              <w:t>重金属检测仪，得</w:t>
            </w:r>
            <w:r>
              <w:rPr>
                <w:rFonts w:ascii="宋体" w:hAnsi="宋体" w:cs="宋体"/>
                <w:color w:val="auto"/>
                <w:sz w:val="24"/>
                <w:szCs w:val="24"/>
              </w:rPr>
              <w:t>2</w:t>
            </w:r>
            <w:r>
              <w:rPr>
                <w:rFonts w:hint="eastAsia" w:ascii="宋体" w:hAnsi="宋体" w:cs="宋体"/>
                <w:color w:val="auto"/>
                <w:sz w:val="24"/>
                <w:szCs w:val="24"/>
              </w:rPr>
              <w:t>分；</w:t>
            </w:r>
          </w:p>
          <w:p w14:paraId="3ABF5828">
            <w:pPr>
              <w:rPr>
                <w:rFonts w:ascii="宋体" w:cs="Times New Roman"/>
                <w:color w:val="auto"/>
                <w:sz w:val="24"/>
                <w:szCs w:val="24"/>
              </w:rPr>
            </w:pPr>
            <w:r>
              <w:rPr>
                <w:rFonts w:ascii="宋体" w:hAnsi="宋体" w:cs="宋体"/>
                <w:color w:val="auto"/>
                <w:sz w:val="24"/>
                <w:szCs w:val="24"/>
              </w:rPr>
              <w:t>4.</w:t>
            </w:r>
            <w:r>
              <w:rPr>
                <w:rFonts w:hint="eastAsia" w:ascii="宋体" w:hAnsi="宋体" w:cs="宋体"/>
                <w:color w:val="auto"/>
                <w:sz w:val="24"/>
                <w:szCs w:val="24"/>
              </w:rPr>
              <w:t>注水肉速测仪，得</w:t>
            </w:r>
            <w:r>
              <w:rPr>
                <w:rFonts w:ascii="宋体" w:hAnsi="宋体" w:cs="宋体"/>
                <w:color w:val="auto"/>
                <w:sz w:val="24"/>
                <w:szCs w:val="24"/>
              </w:rPr>
              <w:t>2</w:t>
            </w:r>
            <w:r>
              <w:rPr>
                <w:rFonts w:hint="eastAsia" w:ascii="宋体" w:hAnsi="宋体" w:cs="宋体"/>
                <w:color w:val="auto"/>
                <w:sz w:val="24"/>
                <w:szCs w:val="24"/>
              </w:rPr>
              <w:t>分；</w:t>
            </w:r>
          </w:p>
          <w:p w14:paraId="31D33C6E">
            <w:pPr>
              <w:rPr>
                <w:rFonts w:ascii="宋体" w:cs="Times New Roman"/>
                <w:color w:val="auto"/>
                <w:sz w:val="24"/>
                <w:szCs w:val="24"/>
              </w:rPr>
            </w:pPr>
            <w:r>
              <w:rPr>
                <w:rFonts w:ascii="宋体" w:hAnsi="宋体" w:cs="宋体"/>
                <w:color w:val="auto"/>
                <w:sz w:val="24"/>
                <w:szCs w:val="24"/>
              </w:rPr>
              <w:t>5.</w:t>
            </w:r>
            <w:r>
              <w:rPr>
                <w:rFonts w:hint="eastAsia" w:ascii="宋体" w:hAnsi="宋体" w:cs="宋体"/>
                <w:color w:val="auto"/>
                <w:sz w:val="24"/>
                <w:szCs w:val="24"/>
              </w:rPr>
              <w:t>微生物检测仪，得</w:t>
            </w:r>
            <w:r>
              <w:rPr>
                <w:rFonts w:ascii="宋体" w:hAnsi="宋体" w:cs="宋体"/>
                <w:color w:val="auto"/>
                <w:sz w:val="24"/>
                <w:szCs w:val="24"/>
              </w:rPr>
              <w:t>2</w:t>
            </w:r>
            <w:r>
              <w:rPr>
                <w:rFonts w:hint="eastAsia" w:ascii="宋体" w:hAnsi="宋体" w:cs="宋体"/>
                <w:color w:val="auto"/>
                <w:sz w:val="24"/>
                <w:szCs w:val="24"/>
              </w:rPr>
              <w:t>分；</w:t>
            </w:r>
          </w:p>
          <w:p w14:paraId="174E11D0">
            <w:pPr>
              <w:rPr>
                <w:rFonts w:ascii="宋体" w:cs="Times New Roman"/>
                <w:color w:val="auto"/>
                <w:sz w:val="24"/>
                <w:szCs w:val="24"/>
              </w:rPr>
            </w:pPr>
            <w:r>
              <w:rPr>
                <w:rFonts w:hint="eastAsia" w:ascii="宋体" w:hAnsi="宋体" w:cs="宋体"/>
                <w:color w:val="auto"/>
                <w:sz w:val="24"/>
                <w:szCs w:val="24"/>
              </w:rPr>
              <w:t>注：设备属于租赁的，须提供上述检测设备照片及设备购置发票、租赁合同复印件，同时提供检测室场地产权证明或租赁合同复印件，检测室实景照片，未按要求提供或资料不全不得分；设备属于自有的，须提供上述检测设备照片及设备购置发票复印件，同时提供检测室场地产权证明或租赁合同复印件，检测室实景照片，未按要求提供或资料不全不得分。</w:t>
            </w:r>
          </w:p>
        </w:tc>
        <w:tc>
          <w:tcPr>
            <w:tcW w:w="874" w:type="dxa"/>
            <w:noWrap w:val="0"/>
            <w:vAlign w:val="center"/>
          </w:tcPr>
          <w:p w14:paraId="05FBCCAD">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4</w:t>
            </w:r>
          </w:p>
        </w:tc>
      </w:tr>
      <w:tr w14:paraId="2566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31" w:hRule="atLeast"/>
          <w:jc w:val="center"/>
        </w:trPr>
        <w:tc>
          <w:tcPr>
            <w:tcW w:w="667" w:type="dxa"/>
            <w:noWrap w:val="0"/>
            <w:vAlign w:val="center"/>
          </w:tcPr>
          <w:p w14:paraId="00EE19D1">
            <w:pPr>
              <w:jc w:val="center"/>
              <w:rPr>
                <w:rFonts w:hint="eastAsia" w:ascii="宋体" w:eastAsia="宋体" w:cs="Times New Roman"/>
                <w:color w:val="auto"/>
                <w:sz w:val="24"/>
                <w:szCs w:val="24"/>
                <w:lang w:eastAsia="zh-CN"/>
              </w:rPr>
            </w:pPr>
            <w:r>
              <w:rPr>
                <w:rFonts w:hint="eastAsia" w:ascii="宋体" w:hAnsi="宋体" w:cs="宋体"/>
                <w:color w:val="auto"/>
                <w:sz w:val="24"/>
                <w:szCs w:val="24"/>
                <w:lang w:val="en-US" w:eastAsia="zh-CN"/>
              </w:rPr>
              <w:t>7</w:t>
            </w:r>
          </w:p>
        </w:tc>
        <w:tc>
          <w:tcPr>
            <w:tcW w:w="1474" w:type="dxa"/>
            <w:noWrap w:val="0"/>
            <w:vAlign w:val="center"/>
          </w:tcPr>
          <w:p w14:paraId="32B1E88E">
            <w:pPr>
              <w:jc w:val="center"/>
              <w:rPr>
                <w:rFonts w:ascii="宋体" w:cs="Times New Roman"/>
                <w:color w:val="auto"/>
                <w:sz w:val="24"/>
                <w:szCs w:val="24"/>
              </w:rPr>
            </w:pPr>
            <w:r>
              <w:rPr>
                <w:rFonts w:hint="eastAsia" w:ascii="宋体" w:hAnsi="宋体" w:cs="宋体"/>
                <w:color w:val="auto"/>
                <w:sz w:val="24"/>
                <w:szCs w:val="24"/>
              </w:rPr>
              <w:t>食品安全保险</w:t>
            </w:r>
          </w:p>
        </w:tc>
        <w:tc>
          <w:tcPr>
            <w:tcW w:w="6761" w:type="dxa"/>
            <w:noWrap w:val="0"/>
            <w:vAlign w:val="center"/>
          </w:tcPr>
          <w:p w14:paraId="08F78F18">
            <w:pPr>
              <w:rPr>
                <w:rFonts w:ascii="宋体" w:cs="Times New Roman"/>
                <w:color w:val="auto"/>
                <w:sz w:val="24"/>
                <w:szCs w:val="24"/>
              </w:rPr>
            </w:pPr>
            <w:r>
              <w:rPr>
                <w:rFonts w:hint="eastAsia" w:ascii="宋体" w:hAnsi="宋体" w:cs="宋体"/>
                <w:color w:val="auto"/>
                <w:sz w:val="24"/>
                <w:szCs w:val="24"/>
              </w:rPr>
              <w:t>投标人购买食品安全责任险保险的：</w:t>
            </w:r>
          </w:p>
          <w:p w14:paraId="477C2074">
            <w:pPr>
              <w:rPr>
                <w:rFonts w:ascii="宋体" w:cs="Times New Roman"/>
                <w:color w:val="auto"/>
                <w:sz w:val="24"/>
                <w:szCs w:val="24"/>
              </w:rPr>
            </w:pPr>
            <w:r>
              <w:rPr>
                <w:rFonts w:hint="eastAsia" w:ascii="宋体" w:hAnsi="宋体" w:cs="宋体"/>
                <w:color w:val="auto"/>
                <w:sz w:val="24"/>
                <w:szCs w:val="24"/>
              </w:rPr>
              <w:t>保险额度≥</w:t>
            </w:r>
            <w:r>
              <w:rPr>
                <w:rFonts w:hint="eastAsia" w:ascii="宋体" w:hAnsi="宋体" w:cs="宋体"/>
                <w:color w:val="auto"/>
                <w:sz w:val="24"/>
                <w:szCs w:val="24"/>
                <w:lang w:val="en-US" w:eastAsia="zh-CN"/>
              </w:rPr>
              <w:t>3</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5</w:t>
            </w:r>
            <w:r>
              <w:rPr>
                <w:rFonts w:hint="eastAsia" w:ascii="宋体" w:hAnsi="宋体" w:cs="宋体"/>
                <w:color w:val="auto"/>
                <w:sz w:val="24"/>
                <w:szCs w:val="24"/>
              </w:rPr>
              <w:t>分；</w:t>
            </w:r>
          </w:p>
          <w:p w14:paraId="062AB6EC">
            <w:pPr>
              <w:rPr>
                <w:rFonts w:ascii="宋体" w:cs="Times New Roman"/>
                <w:color w:val="auto"/>
                <w:sz w:val="24"/>
                <w:szCs w:val="24"/>
              </w:rPr>
            </w:pPr>
            <w:r>
              <w:rPr>
                <w:rFonts w:hint="eastAsia" w:ascii="宋体" w:hAnsi="宋体" w:cs="宋体"/>
                <w:color w:val="auto"/>
                <w:sz w:val="24"/>
                <w:szCs w:val="24"/>
                <w:lang w:val="en-US" w:eastAsia="zh-CN"/>
              </w:rPr>
              <w:t>1</w:t>
            </w:r>
            <w:r>
              <w:rPr>
                <w:rFonts w:ascii="宋体" w:hAnsi="宋体" w:cs="宋体"/>
                <w:color w:val="auto"/>
                <w:sz w:val="24"/>
                <w:szCs w:val="24"/>
              </w:rPr>
              <w:t>000</w:t>
            </w:r>
            <w:r>
              <w:rPr>
                <w:rFonts w:hint="eastAsia" w:ascii="宋体" w:hAnsi="宋体" w:cs="宋体"/>
                <w:color w:val="auto"/>
                <w:sz w:val="24"/>
                <w:szCs w:val="24"/>
              </w:rPr>
              <w:t>万≤保险额度</w:t>
            </w:r>
            <w:r>
              <w:rPr>
                <w:rFonts w:ascii="宋体" w:hAnsi="宋体" w:cs="宋体"/>
                <w:color w:val="auto"/>
                <w:sz w:val="24"/>
                <w:szCs w:val="24"/>
              </w:rPr>
              <w:t>&lt;</w:t>
            </w:r>
            <w:r>
              <w:rPr>
                <w:rFonts w:hint="eastAsia" w:ascii="宋体" w:hAnsi="宋体" w:cs="宋体"/>
                <w:color w:val="auto"/>
                <w:sz w:val="24"/>
                <w:szCs w:val="24"/>
                <w:lang w:val="en-US" w:eastAsia="zh-CN"/>
              </w:rPr>
              <w:t>3</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3</w:t>
            </w:r>
            <w:r>
              <w:rPr>
                <w:rFonts w:hint="eastAsia" w:ascii="宋体" w:hAnsi="宋体" w:cs="宋体"/>
                <w:color w:val="auto"/>
                <w:sz w:val="24"/>
                <w:szCs w:val="24"/>
              </w:rPr>
              <w:t>分；</w:t>
            </w:r>
          </w:p>
          <w:p w14:paraId="5F5058A1">
            <w:pPr>
              <w:rPr>
                <w:rFonts w:ascii="宋体" w:cs="Times New Roman"/>
                <w:color w:val="auto"/>
                <w:sz w:val="24"/>
                <w:szCs w:val="24"/>
              </w:rPr>
            </w:pPr>
            <w:r>
              <w:rPr>
                <w:rFonts w:hint="eastAsia" w:ascii="宋体" w:hAnsi="宋体" w:cs="宋体"/>
                <w:color w:val="auto"/>
                <w:sz w:val="24"/>
                <w:szCs w:val="24"/>
                <w:lang w:val="en-US" w:eastAsia="zh-CN"/>
              </w:rPr>
              <w:t>5</w:t>
            </w:r>
            <w:r>
              <w:rPr>
                <w:rFonts w:ascii="宋体" w:hAnsi="宋体" w:cs="宋体"/>
                <w:color w:val="auto"/>
                <w:sz w:val="24"/>
                <w:szCs w:val="24"/>
              </w:rPr>
              <w:t>00</w:t>
            </w:r>
            <w:r>
              <w:rPr>
                <w:rFonts w:hint="eastAsia" w:ascii="宋体" w:hAnsi="宋体" w:cs="宋体"/>
                <w:color w:val="auto"/>
                <w:sz w:val="24"/>
                <w:szCs w:val="24"/>
              </w:rPr>
              <w:t>万≤保险额度</w:t>
            </w:r>
            <w:r>
              <w:rPr>
                <w:rFonts w:ascii="宋体" w:hAnsi="宋体" w:cs="宋体"/>
                <w:color w:val="auto"/>
                <w:sz w:val="24"/>
                <w:szCs w:val="24"/>
              </w:rPr>
              <w:t>&lt;</w:t>
            </w:r>
            <w:r>
              <w:rPr>
                <w:rFonts w:hint="eastAsia" w:ascii="宋体" w:hAnsi="宋体" w:cs="宋体"/>
                <w:color w:val="auto"/>
                <w:sz w:val="24"/>
                <w:szCs w:val="24"/>
                <w:lang w:val="en-US" w:eastAsia="zh-CN"/>
              </w:rPr>
              <w:t>1</w:t>
            </w:r>
            <w:r>
              <w:rPr>
                <w:rFonts w:ascii="宋体" w:hAnsi="宋体" w:cs="宋体"/>
                <w:color w:val="auto"/>
                <w:sz w:val="24"/>
                <w:szCs w:val="24"/>
              </w:rPr>
              <w:t>000</w:t>
            </w:r>
            <w:r>
              <w:rPr>
                <w:rFonts w:hint="eastAsia" w:ascii="宋体" w:hAnsi="宋体" w:cs="宋体"/>
                <w:color w:val="auto"/>
                <w:sz w:val="24"/>
                <w:szCs w:val="24"/>
              </w:rPr>
              <w:t>万元且承诺保险到期后续保的，得</w:t>
            </w:r>
            <w:r>
              <w:rPr>
                <w:rFonts w:ascii="宋体" w:hAnsi="宋体" w:cs="宋体"/>
                <w:color w:val="auto"/>
                <w:sz w:val="24"/>
                <w:szCs w:val="24"/>
              </w:rPr>
              <w:t>1</w:t>
            </w:r>
            <w:r>
              <w:rPr>
                <w:rFonts w:hint="eastAsia" w:ascii="宋体" w:hAnsi="宋体" w:cs="宋体"/>
                <w:color w:val="auto"/>
                <w:sz w:val="24"/>
                <w:szCs w:val="24"/>
              </w:rPr>
              <w:t>分；</w:t>
            </w:r>
          </w:p>
          <w:p w14:paraId="27B67833">
            <w:pPr>
              <w:rPr>
                <w:rFonts w:ascii="宋体" w:cs="Times New Roman"/>
                <w:color w:val="auto"/>
                <w:sz w:val="24"/>
                <w:szCs w:val="24"/>
              </w:rPr>
            </w:pPr>
            <w:r>
              <w:rPr>
                <w:rFonts w:hint="eastAsia" w:ascii="宋体" w:hAnsi="宋体" w:cs="宋体"/>
                <w:color w:val="auto"/>
                <w:sz w:val="24"/>
                <w:szCs w:val="24"/>
                <w:lang w:val="en-US" w:eastAsia="zh-CN"/>
              </w:rPr>
              <w:t>200</w:t>
            </w:r>
            <w:r>
              <w:rPr>
                <w:rFonts w:hint="eastAsia" w:ascii="宋体" w:hAnsi="宋体" w:cs="宋体"/>
                <w:color w:val="auto"/>
                <w:sz w:val="24"/>
                <w:szCs w:val="24"/>
              </w:rPr>
              <w:t>万以下或没有购买食品安全责任险保险或未承诺保险到期后续保的，不得分。</w:t>
            </w:r>
          </w:p>
          <w:p w14:paraId="0BF69A82">
            <w:pPr>
              <w:rPr>
                <w:rFonts w:ascii="宋体" w:cs="Times New Roman"/>
                <w:color w:val="auto"/>
                <w:sz w:val="24"/>
                <w:szCs w:val="24"/>
              </w:rPr>
            </w:pPr>
            <w:r>
              <w:rPr>
                <w:rFonts w:hint="eastAsia" w:ascii="宋体" w:hAnsi="宋体" w:cs="宋体"/>
                <w:color w:val="auto"/>
                <w:sz w:val="24"/>
                <w:szCs w:val="24"/>
              </w:rPr>
              <w:t>（提供有效期内的食品安全责任险保险单及购置发票复印件，未按要求提供或证明材料提供不齐全的不得分）</w:t>
            </w:r>
          </w:p>
        </w:tc>
        <w:tc>
          <w:tcPr>
            <w:tcW w:w="874" w:type="dxa"/>
            <w:noWrap w:val="0"/>
            <w:vAlign w:val="center"/>
          </w:tcPr>
          <w:p w14:paraId="384681D4">
            <w:pPr>
              <w:jc w:val="center"/>
              <w:rPr>
                <w:rFonts w:ascii="宋体" w:cs="Times New Roman"/>
                <w:color w:val="auto"/>
                <w:sz w:val="24"/>
                <w:szCs w:val="24"/>
              </w:rPr>
            </w:pPr>
            <w:r>
              <w:rPr>
                <w:rFonts w:ascii="宋体" w:hAnsi="宋体" w:cs="宋体"/>
                <w:color w:val="auto"/>
                <w:sz w:val="24"/>
                <w:szCs w:val="24"/>
              </w:rPr>
              <w:t>5</w:t>
            </w:r>
          </w:p>
        </w:tc>
      </w:tr>
      <w:tr w14:paraId="06EC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7" w:hRule="atLeast"/>
          <w:jc w:val="center"/>
        </w:trPr>
        <w:tc>
          <w:tcPr>
            <w:tcW w:w="8902" w:type="dxa"/>
            <w:gridSpan w:val="3"/>
            <w:noWrap w:val="0"/>
            <w:vAlign w:val="center"/>
          </w:tcPr>
          <w:p w14:paraId="71407310">
            <w:pPr>
              <w:jc w:val="center"/>
              <w:rPr>
                <w:rFonts w:ascii="宋体" w:cs="Times New Roman"/>
                <w:color w:val="auto"/>
                <w:sz w:val="24"/>
                <w:szCs w:val="24"/>
              </w:rPr>
            </w:pPr>
            <w:r>
              <w:rPr>
                <w:rFonts w:hint="eastAsia" w:ascii="宋体" w:hAnsi="宋体" w:cs="宋体"/>
                <w:color w:val="auto"/>
                <w:sz w:val="24"/>
                <w:szCs w:val="24"/>
              </w:rPr>
              <w:t>合计</w:t>
            </w:r>
          </w:p>
        </w:tc>
        <w:tc>
          <w:tcPr>
            <w:tcW w:w="874" w:type="dxa"/>
            <w:noWrap w:val="0"/>
            <w:vAlign w:val="center"/>
          </w:tcPr>
          <w:p w14:paraId="5A203DB9">
            <w:pPr>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20</w:t>
            </w:r>
          </w:p>
        </w:tc>
      </w:tr>
    </w:tbl>
    <w:p w14:paraId="2D960011">
      <w:pPr>
        <w:pStyle w:val="4"/>
        <w:ind w:firstLine="0" w:firstLineChars="0"/>
        <w:jc w:val="center"/>
        <w:rPr>
          <w:rFonts w:ascii="宋体" w:cs="Times New Roman"/>
          <w:b/>
          <w:bCs/>
          <w:color w:val="auto"/>
          <w:sz w:val="24"/>
          <w:szCs w:val="24"/>
        </w:rPr>
      </w:pPr>
    </w:p>
    <w:p w14:paraId="64B59A25">
      <w:pPr>
        <w:pStyle w:val="4"/>
        <w:ind w:firstLine="0" w:firstLineChars="0"/>
        <w:jc w:val="center"/>
        <w:rPr>
          <w:rFonts w:ascii="宋体" w:cs="Times New Roman"/>
          <w:b/>
          <w:bCs/>
          <w:color w:val="auto"/>
          <w:sz w:val="24"/>
          <w:szCs w:val="24"/>
        </w:rPr>
      </w:pPr>
    </w:p>
    <w:p w14:paraId="6B437717">
      <w:pPr>
        <w:pStyle w:val="4"/>
        <w:ind w:firstLine="0" w:firstLineChars="0"/>
        <w:jc w:val="center"/>
        <w:rPr>
          <w:rFonts w:ascii="宋体" w:cs="Times New Roman"/>
          <w:b/>
          <w:bCs/>
          <w:color w:val="auto"/>
          <w:sz w:val="24"/>
          <w:szCs w:val="24"/>
        </w:rPr>
      </w:pPr>
      <w:r>
        <w:rPr>
          <w:rFonts w:hint="eastAsia" w:ascii="宋体" w:hAnsi="宋体" w:cs="宋体"/>
          <w:b/>
          <w:bCs/>
          <w:color w:val="auto"/>
          <w:sz w:val="24"/>
          <w:szCs w:val="24"/>
        </w:rPr>
        <w:t>价格评分（</w:t>
      </w:r>
      <w:r>
        <w:rPr>
          <w:rFonts w:hint="eastAsia" w:ascii="宋体" w:hAnsi="宋体" w:cs="宋体"/>
          <w:b/>
          <w:bCs/>
          <w:color w:val="auto"/>
          <w:sz w:val="24"/>
          <w:szCs w:val="24"/>
          <w:lang w:val="en-US" w:eastAsia="zh-CN"/>
        </w:rPr>
        <w:t>50</w:t>
      </w:r>
      <w:r>
        <w:rPr>
          <w:rFonts w:hint="eastAsia" w:ascii="宋体" w:hAnsi="宋体" w:cs="宋体"/>
          <w:b/>
          <w:bCs/>
          <w:color w:val="auto"/>
          <w:sz w:val="24"/>
          <w:szCs w:val="24"/>
        </w:rPr>
        <w:t>分）</w:t>
      </w:r>
    </w:p>
    <w:tbl>
      <w:tblPr>
        <w:tblStyle w:val="8"/>
        <w:tblpPr w:leftFromText="180" w:rightFromText="180" w:vertAnchor="text" w:horzAnchor="page" w:tblpX="1140" w:tblpY="315"/>
        <w:tblOverlap w:val="never"/>
        <w:tblW w:w="9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533"/>
        <w:gridCol w:w="5600"/>
        <w:gridCol w:w="1175"/>
      </w:tblGrid>
      <w:tr w14:paraId="7AB8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569" w:type="dxa"/>
            <w:noWrap w:val="0"/>
            <w:vAlign w:val="center"/>
          </w:tcPr>
          <w:p w14:paraId="1A84FBA5">
            <w:pPr>
              <w:spacing w:line="360" w:lineRule="auto"/>
              <w:jc w:val="center"/>
              <w:rPr>
                <w:rFonts w:ascii="宋体" w:cs="Times New Roman"/>
                <w:color w:val="auto"/>
                <w:sz w:val="24"/>
                <w:szCs w:val="24"/>
              </w:rPr>
            </w:pPr>
            <w:r>
              <w:rPr>
                <w:rFonts w:hint="eastAsia" w:ascii="宋体" w:hAnsi="宋体" w:cs="宋体"/>
                <w:color w:val="auto"/>
                <w:sz w:val="24"/>
                <w:szCs w:val="24"/>
              </w:rPr>
              <w:t>序号</w:t>
            </w:r>
          </w:p>
        </w:tc>
        <w:tc>
          <w:tcPr>
            <w:tcW w:w="1533" w:type="dxa"/>
            <w:noWrap w:val="0"/>
            <w:vAlign w:val="center"/>
          </w:tcPr>
          <w:p w14:paraId="29B09985">
            <w:pPr>
              <w:spacing w:line="360" w:lineRule="auto"/>
              <w:jc w:val="center"/>
              <w:rPr>
                <w:rFonts w:ascii="宋体" w:cs="Times New Roman"/>
                <w:color w:val="auto"/>
                <w:sz w:val="24"/>
                <w:szCs w:val="24"/>
              </w:rPr>
            </w:pPr>
            <w:r>
              <w:rPr>
                <w:rFonts w:hint="eastAsia" w:ascii="宋体" w:hAnsi="宋体" w:cs="宋体"/>
                <w:color w:val="auto"/>
                <w:sz w:val="24"/>
                <w:szCs w:val="24"/>
              </w:rPr>
              <w:t>评审分项</w:t>
            </w:r>
          </w:p>
        </w:tc>
        <w:tc>
          <w:tcPr>
            <w:tcW w:w="5600" w:type="dxa"/>
            <w:noWrap w:val="0"/>
            <w:vAlign w:val="center"/>
          </w:tcPr>
          <w:p w14:paraId="6E755692">
            <w:pPr>
              <w:spacing w:line="360" w:lineRule="auto"/>
              <w:jc w:val="center"/>
              <w:rPr>
                <w:rFonts w:ascii="宋体" w:cs="Times New Roman"/>
                <w:color w:val="auto"/>
                <w:sz w:val="24"/>
                <w:szCs w:val="24"/>
              </w:rPr>
            </w:pPr>
            <w:r>
              <w:rPr>
                <w:rFonts w:hint="eastAsia" w:ascii="宋体" w:hAnsi="宋体" w:cs="宋体"/>
                <w:color w:val="auto"/>
                <w:sz w:val="24"/>
                <w:szCs w:val="24"/>
              </w:rPr>
              <w:t>评审细则</w:t>
            </w:r>
          </w:p>
        </w:tc>
        <w:tc>
          <w:tcPr>
            <w:tcW w:w="1175" w:type="dxa"/>
            <w:noWrap w:val="0"/>
            <w:vAlign w:val="center"/>
          </w:tcPr>
          <w:p w14:paraId="2BE628EB">
            <w:pPr>
              <w:spacing w:line="360" w:lineRule="auto"/>
              <w:jc w:val="center"/>
              <w:rPr>
                <w:rFonts w:ascii="宋体" w:cs="Times New Roman"/>
                <w:color w:val="auto"/>
                <w:sz w:val="24"/>
                <w:szCs w:val="24"/>
              </w:rPr>
            </w:pPr>
            <w:r>
              <w:rPr>
                <w:rFonts w:hint="eastAsia" w:ascii="宋体" w:hAnsi="宋体" w:cs="宋体"/>
                <w:color w:val="auto"/>
                <w:sz w:val="24"/>
                <w:szCs w:val="24"/>
              </w:rPr>
              <w:t>分值</w:t>
            </w:r>
          </w:p>
        </w:tc>
      </w:tr>
      <w:tr w14:paraId="3549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569" w:type="dxa"/>
            <w:noWrap w:val="0"/>
            <w:vAlign w:val="center"/>
          </w:tcPr>
          <w:p w14:paraId="0F3D8509">
            <w:pPr>
              <w:pStyle w:val="4"/>
              <w:ind w:firstLine="0" w:firstLineChars="0"/>
              <w:jc w:val="center"/>
              <w:rPr>
                <w:rFonts w:ascii="宋体" w:cs="Times New Roman"/>
                <w:color w:val="auto"/>
                <w:sz w:val="24"/>
                <w:szCs w:val="24"/>
              </w:rPr>
            </w:pPr>
            <w:r>
              <w:rPr>
                <w:rFonts w:ascii="宋体" w:hAnsi="宋体" w:cs="宋体"/>
                <w:color w:val="auto"/>
                <w:sz w:val="24"/>
                <w:szCs w:val="24"/>
              </w:rPr>
              <w:t>1</w:t>
            </w:r>
          </w:p>
        </w:tc>
        <w:tc>
          <w:tcPr>
            <w:tcW w:w="1533" w:type="dxa"/>
            <w:noWrap w:val="0"/>
            <w:vAlign w:val="center"/>
          </w:tcPr>
          <w:p w14:paraId="18D871F6">
            <w:pPr>
              <w:pStyle w:val="4"/>
              <w:ind w:firstLine="0" w:firstLineChars="0"/>
              <w:jc w:val="center"/>
              <w:rPr>
                <w:rFonts w:ascii="宋体" w:cs="Times New Roman"/>
                <w:color w:val="auto"/>
                <w:sz w:val="24"/>
                <w:szCs w:val="24"/>
              </w:rPr>
            </w:pPr>
            <w:r>
              <w:rPr>
                <w:rFonts w:hint="eastAsia" w:ascii="宋体" w:hAnsi="宋体" w:cs="宋体"/>
                <w:color w:val="auto"/>
                <w:sz w:val="24"/>
                <w:szCs w:val="24"/>
              </w:rPr>
              <w:t>价格分</w:t>
            </w:r>
          </w:p>
        </w:tc>
        <w:tc>
          <w:tcPr>
            <w:tcW w:w="5600" w:type="dxa"/>
            <w:noWrap w:val="0"/>
            <w:vAlign w:val="top"/>
          </w:tcPr>
          <w:p w14:paraId="03FF2FFF">
            <w:pPr>
              <w:pStyle w:val="4"/>
              <w:ind w:firstLine="0" w:firstLineChars="0"/>
              <w:rPr>
                <w:rFonts w:ascii="宋体" w:cs="Times New Roman"/>
                <w:color w:val="auto"/>
                <w:sz w:val="24"/>
                <w:szCs w:val="24"/>
              </w:rPr>
            </w:pPr>
            <w:r>
              <w:rPr>
                <w:rFonts w:hint="eastAsia" w:ascii="宋体" w:hAnsi="宋体" w:cs="宋体"/>
                <w:color w:val="auto"/>
                <w:sz w:val="24"/>
                <w:szCs w:val="24"/>
              </w:rPr>
              <w:t>经评委会审核，满足招标文件要求且进行了政策性价格扣除后，以评标价 格（投标费率）的最低价者定为评标基准价，其价格分为满分。其他供应 商的价格分统一按下列公式计算。即： 评标基准价 = 评标价格（投标费率 ）的最低价； 投标报价得分 =评标基准价÷评标价格（投标费率）×价格权值×100</w:t>
            </w:r>
          </w:p>
        </w:tc>
        <w:tc>
          <w:tcPr>
            <w:tcW w:w="1175" w:type="dxa"/>
            <w:noWrap w:val="0"/>
            <w:vAlign w:val="center"/>
          </w:tcPr>
          <w:p w14:paraId="4F46244F">
            <w:pPr>
              <w:pStyle w:val="4"/>
              <w:ind w:firstLine="0" w:firstLineChars="0"/>
              <w:jc w:val="center"/>
              <w:rPr>
                <w:rFonts w:hint="default" w:ascii="宋体" w:eastAsia="宋体" w:cs="Times New Roman"/>
                <w:color w:val="auto"/>
                <w:sz w:val="24"/>
                <w:szCs w:val="24"/>
                <w:lang w:val="en-US" w:eastAsia="zh-CN"/>
              </w:rPr>
            </w:pPr>
            <w:r>
              <w:rPr>
                <w:rFonts w:hint="eastAsia" w:ascii="宋体" w:cs="Times New Roman"/>
                <w:color w:val="auto"/>
                <w:sz w:val="24"/>
                <w:szCs w:val="24"/>
                <w:lang w:val="en-US" w:eastAsia="zh-CN"/>
              </w:rPr>
              <w:t>50</w:t>
            </w:r>
          </w:p>
        </w:tc>
      </w:tr>
    </w:tbl>
    <w:p w14:paraId="4DE92CD5">
      <w:pPr>
        <w:rPr>
          <w:rFonts w:ascii="宋体" w:cs="Times New Roman"/>
          <w:color w:val="auto"/>
          <w:sz w:val="24"/>
          <w:szCs w:val="24"/>
        </w:rPr>
      </w:pPr>
    </w:p>
    <w:p w14:paraId="105C36DA">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5073A52B-71B6-465B-A620-2D4507CC2E84}"/>
  </w:font>
  <w:font w:name="方正小标宋简体">
    <w:panose1 w:val="02000000000000000000"/>
    <w:charset w:val="86"/>
    <w:family w:val="auto"/>
    <w:pitch w:val="default"/>
    <w:sig w:usb0="00000001" w:usb1="08000000" w:usb2="00000000" w:usb3="00000000" w:csb0="00040000" w:csb1="00000000"/>
    <w:embedRegular r:id="rId2" w:fontKey="{EE4BC276-D452-4704-8249-02E590C6D1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42509">
    <w:pPr>
      <w:pStyle w:val="6"/>
      <w:jc w:val="righ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81B0">
    <w:pPr>
      <w:pStyle w:val="6"/>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AC778E"/>
    <w:multiLevelType w:val="multilevel"/>
    <w:tmpl w:val="25AC778E"/>
    <w:lvl w:ilvl="0" w:tentative="0">
      <w:start w:val="1"/>
      <w:numFmt w:val="chineseCounting"/>
      <w:lvlText w:val="（%1）"/>
      <w:lvlJc w:val="left"/>
      <w:pPr>
        <w:tabs>
          <w:tab w:val="left" w:pos="420"/>
        </w:tabs>
        <w:ind w:left="420" w:hanging="420"/>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7CA2C3A"/>
    <w:multiLevelType w:val="multilevel"/>
    <w:tmpl w:val="27CA2C3A"/>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DAC3BD9"/>
    <w:multiLevelType w:val="multilevel"/>
    <w:tmpl w:val="3DAC3BD9"/>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8EC5D8B"/>
    <w:multiLevelType w:val="singleLevel"/>
    <w:tmpl w:val="58EC5D8B"/>
    <w:lvl w:ilvl="0" w:tentative="0">
      <w:start w:val="1"/>
      <w:numFmt w:val="decimal"/>
      <w:lvlText w:val="%1)"/>
      <w:lvlJc w:val="left"/>
      <w:pPr>
        <w:ind w:left="425" w:hanging="425"/>
      </w:pPr>
      <w:rPr>
        <w:rFonts w:hint="default"/>
      </w:rPr>
    </w:lvl>
  </w:abstractNum>
  <w:abstractNum w:abstractNumId="4">
    <w:nsid w:val="58EC5E5F"/>
    <w:multiLevelType w:val="singleLevel"/>
    <w:tmpl w:val="58EC5E5F"/>
    <w:lvl w:ilvl="0" w:tentative="0">
      <w:start w:val="1"/>
      <w:numFmt w:val="decimal"/>
      <w:lvlText w:val="%1)"/>
      <w:lvlJc w:val="left"/>
      <w:pPr>
        <w:ind w:left="425" w:hanging="425"/>
      </w:pPr>
      <w:rPr>
        <w:rFonts w:hint="default"/>
      </w:rPr>
    </w:lvl>
  </w:abstractNum>
  <w:abstractNum w:abstractNumId="5">
    <w:nsid w:val="58EC5FB0"/>
    <w:multiLevelType w:val="singleLevel"/>
    <w:tmpl w:val="58EC5FB0"/>
    <w:lvl w:ilvl="0" w:tentative="0">
      <w:start w:val="1"/>
      <w:numFmt w:val="decimal"/>
      <w:lvlText w:val="%1)"/>
      <w:lvlJc w:val="left"/>
      <w:pPr>
        <w:ind w:left="425" w:hanging="425"/>
      </w:pPr>
      <w:rPr>
        <w:rFonts w:hint="default"/>
      </w:rPr>
    </w:lvl>
  </w:abstractNum>
  <w:abstractNum w:abstractNumId="6">
    <w:nsid w:val="58EC5FCA"/>
    <w:multiLevelType w:val="singleLevel"/>
    <w:tmpl w:val="58EC5FCA"/>
    <w:lvl w:ilvl="0" w:tentative="0">
      <w:start w:val="1"/>
      <w:numFmt w:val="decimalEnclosedCircleChinese"/>
      <w:suff w:val="nothing"/>
      <w:lvlText w:val="%1　"/>
      <w:lvlJc w:val="left"/>
      <w:pPr>
        <w:ind w:firstLine="400"/>
      </w:pPr>
      <w:rPr>
        <w:rFonts w:hint="eastAsia"/>
      </w:rPr>
    </w:lvl>
  </w:abstractNum>
  <w:abstractNum w:abstractNumId="7">
    <w:nsid w:val="58EC604F"/>
    <w:multiLevelType w:val="singleLevel"/>
    <w:tmpl w:val="58EC604F"/>
    <w:lvl w:ilvl="0" w:tentative="0">
      <w:start w:val="1"/>
      <w:numFmt w:val="decimalEnclosedCircleChinese"/>
      <w:suff w:val="nothing"/>
      <w:lvlText w:val="%1　"/>
      <w:lvlJc w:val="left"/>
      <w:pPr>
        <w:ind w:firstLine="400"/>
      </w:pPr>
      <w:rPr>
        <w:rFonts w:hint="eastAsia"/>
      </w:rPr>
    </w:lvl>
  </w:abstractNum>
  <w:abstractNum w:abstractNumId="8">
    <w:nsid w:val="58EC60D1"/>
    <w:multiLevelType w:val="singleLevel"/>
    <w:tmpl w:val="58EC60D1"/>
    <w:lvl w:ilvl="0" w:tentative="0">
      <w:start w:val="1"/>
      <w:numFmt w:val="decimal"/>
      <w:lvlText w:val="%1."/>
      <w:lvlJc w:val="left"/>
      <w:pPr>
        <w:ind w:left="420" w:hanging="420"/>
      </w:pPr>
      <w:rPr>
        <w:rFonts w:hint="eastAsia"/>
      </w:rPr>
    </w:lvl>
  </w:abstractNum>
  <w:abstractNum w:abstractNumId="9">
    <w:nsid w:val="58EC6165"/>
    <w:multiLevelType w:val="singleLevel"/>
    <w:tmpl w:val="58EC6165"/>
    <w:lvl w:ilvl="0" w:tentative="0">
      <w:start w:val="1"/>
      <w:numFmt w:val="decimal"/>
      <w:lvlText w:val="%1."/>
      <w:lvlJc w:val="left"/>
      <w:pPr>
        <w:ind w:left="420" w:hanging="420"/>
      </w:pPr>
      <w:rPr>
        <w:rFonts w:hint="eastAsia"/>
      </w:rPr>
    </w:lvl>
  </w:abstractNum>
  <w:abstractNum w:abstractNumId="10">
    <w:nsid w:val="58EC61A2"/>
    <w:multiLevelType w:val="singleLevel"/>
    <w:tmpl w:val="58EC61A2"/>
    <w:lvl w:ilvl="0" w:tentative="0">
      <w:start w:val="1"/>
      <w:numFmt w:val="decimal"/>
      <w:lvlText w:val="%1."/>
      <w:lvlJc w:val="left"/>
      <w:pPr>
        <w:ind w:left="420" w:hanging="420"/>
      </w:pPr>
      <w:rPr>
        <w:rFonts w:hint="eastAsia"/>
      </w:rPr>
    </w:lvl>
  </w:abstractNum>
  <w:abstractNum w:abstractNumId="11">
    <w:nsid w:val="58EC6349"/>
    <w:multiLevelType w:val="singleLevel"/>
    <w:tmpl w:val="58EC6349"/>
    <w:lvl w:ilvl="0" w:tentative="0">
      <w:start w:val="1"/>
      <w:numFmt w:val="decimal"/>
      <w:lvlText w:val="3.%1."/>
      <w:lvlJc w:val="left"/>
      <w:pPr>
        <w:ind w:left="420" w:hanging="420"/>
      </w:pPr>
      <w:rPr>
        <w:rFonts w:hint="eastAsia" w:ascii="宋体" w:hAnsi="宋体" w:eastAsia="宋体"/>
        <w:b w:val="0"/>
        <w:bCs w:val="0"/>
        <w:color w:val="auto"/>
      </w:rPr>
    </w:lvl>
  </w:abstractNum>
  <w:abstractNum w:abstractNumId="12">
    <w:nsid w:val="644A7D74"/>
    <w:multiLevelType w:val="singleLevel"/>
    <w:tmpl w:val="644A7D74"/>
    <w:lvl w:ilvl="0" w:tentative="0">
      <w:start w:val="1"/>
      <w:numFmt w:val="chineseCounting"/>
      <w:suff w:val="nothing"/>
      <w:lvlText w:val="%1．"/>
      <w:lvlJc w:val="left"/>
      <w:rPr>
        <w:rFonts w:hint="eastAsia"/>
      </w:rPr>
    </w:lvl>
  </w:abstractNum>
  <w:abstractNum w:abstractNumId="13">
    <w:nsid w:val="79E054D5"/>
    <w:multiLevelType w:val="multilevel"/>
    <w:tmpl w:val="79E054D5"/>
    <w:lvl w:ilvl="0" w:tentative="0">
      <w:start w:val="1"/>
      <w:numFmt w:val="decimal"/>
      <w:lvlText w:val="（%1）"/>
      <w:lvlJc w:val="left"/>
      <w:pPr>
        <w:ind w:left="1134" w:hanging="68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0"/>
  </w:num>
  <w:num w:numId="3">
    <w:abstractNumId w:val="1"/>
  </w:num>
  <w:num w:numId="4">
    <w:abstractNumId w:val="3"/>
  </w:num>
  <w:num w:numId="5">
    <w:abstractNumId w:val="4"/>
  </w:num>
  <w:num w:numId="6">
    <w:abstractNumId w:val="2"/>
  </w:num>
  <w:num w:numId="7">
    <w:abstractNumId w:val="5"/>
  </w:num>
  <w:num w:numId="8">
    <w:abstractNumId w:val="6"/>
  </w:num>
  <w:num w:numId="9">
    <w:abstractNumId w:val="7"/>
  </w:num>
  <w:num w:numId="10">
    <w:abstractNumId w:val="8"/>
  </w:num>
  <w:num w:numId="11">
    <w:abstractNumId w:val="13"/>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7ACC18A9"/>
    <w:rsid w:val="03054532"/>
    <w:rsid w:val="05140392"/>
    <w:rsid w:val="051E7E5D"/>
    <w:rsid w:val="0ADB2CF4"/>
    <w:rsid w:val="0E022EB1"/>
    <w:rsid w:val="232028CD"/>
    <w:rsid w:val="26E7757E"/>
    <w:rsid w:val="2DE2142E"/>
    <w:rsid w:val="2DF70C9D"/>
    <w:rsid w:val="2F6B22AB"/>
    <w:rsid w:val="314C6881"/>
    <w:rsid w:val="37FCD768"/>
    <w:rsid w:val="55771AA4"/>
    <w:rsid w:val="56542F11"/>
    <w:rsid w:val="5F1542AB"/>
    <w:rsid w:val="60CA0BB7"/>
    <w:rsid w:val="610B5E7A"/>
    <w:rsid w:val="6D5B6C1D"/>
    <w:rsid w:val="6F535DB9"/>
    <w:rsid w:val="72804C9E"/>
    <w:rsid w:val="7ACC18A9"/>
    <w:rsid w:val="FEFED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9"/>
    <w:pPr>
      <w:keepNext/>
      <w:keepLines/>
      <w:spacing w:before="40" w:after="40"/>
      <w:jc w:val="center"/>
      <w:outlineLvl w:val="0"/>
    </w:pPr>
    <w:rPr>
      <w:b/>
      <w:bCs/>
      <w:kern w:val="44"/>
      <w:sz w:val="36"/>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99"/>
    <w:pPr>
      <w:widowControl/>
      <w:tabs>
        <w:tab w:val="right" w:leader="dot" w:pos="10456"/>
      </w:tabs>
      <w:spacing w:after="100" w:line="276" w:lineRule="auto"/>
      <w:jc w:val="center"/>
    </w:pPr>
    <w:rPr>
      <w:rFonts w:ascii="Calibri" w:hAnsi="Calibri" w:eastAsia="宋体" w:cs="Times New Roman"/>
      <w:b/>
      <w:kern w:val="0"/>
      <w:sz w:val="52"/>
      <w:szCs w:val="52"/>
    </w:rPr>
  </w:style>
  <w:style w:type="paragraph" w:styleId="4">
    <w:name w:val="Normal Indent"/>
    <w:basedOn w:val="1"/>
    <w:qFormat/>
    <w:uiPriority w:val="99"/>
    <w:pPr>
      <w:spacing w:line="360" w:lineRule="auto"/>
      <w:ind w:firstLine="420" w:firstLineChars="200"/>
    </w:pPr>
  </w:style>
  <w:style w:type="paragraph" w:styleId="5">
    <w:name w:val="Plain Text"/>
    <w:basedOn w:val="1"/>
    <w:qFormat/>
    <w:uiPriority w:val="99"/>
    <w:rPr>
      <w:rFonts w:ascii="宋体" w:hAnsi="Courier New" w:cs="宋体"/>
      <w:kern w:val="0"/>
      <w:sz w:val="20"/>
      <w:szCs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Normal (Web)"/>
    <w:basedOn w:val="1"/>
    <w:qFormat/>
    <w:uiPriority w:val="99"/>
    <w:pPr>
      <w:spacing w:before="100" w:beforeAutospacing="1" w:after="100" w:afterAutospacing="1"/>
      <w:jc w:val="left"/>
    </w:pPr>
    <w:rPr>
      <w:kern w:val="0"/>
      <w:sz w:val="24"/>
      <w:szCs w:val="24"/>
    </w:rPr>
  </w:style>
  <w:style w:type="character" w:styleId="10">
    <w:name w:val="annotation reference"/>
    <w:semiHidden/>
    <w:qFormat/>
    <w:uiPriority w:val="99"/>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12113</Words>
  <Characters>12477</Characters>
  <Lines>0</Lines>
  <Paragraphs>0</Paragraphs>
  <TotalTime>29</TotalTime>
  <ScaleCrop>false</ScaleCrop>
  <LinksUpToDate>false</LinksUpToDate>
  <CharactersWithSpaces>12519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2023-08-09T10:49:00Z</dcterms:created>
  <dc:creator>赖达权</dc:creator>
  <cp:lastModifiedBy>赖达权</cp:lastModifiedBy>
  <dcterms:modified xsi:type="dcterms:W3CDTF">2025-03-19T03:08:42Z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D21271A51F3C4D9286172E9F8E558BF5_11</vt:lpwstr>
  </property>
  <property fmtid="{D5CDD505-2E9C-101B-9397-08002B2CF9AE}" pid="4" name="KSOTemplateDocerSaveRecord">
    <vt:lpwstr>eyJoZGlkIjoiYWRiNjlkY2ExYjc0Y2QzMGFkMDliMjFkNmY5MDQ2NTAiLCJ1c2VySWQiOiI3MzI1Mzk2MzEifQ==</vt:lpwstr>
  </property>
</Properties>
</file>