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宋体" w:hAnsi="宋体" w:eastAsia="宋体" w:cs="宋体"/>
          <w:kern w:val="0"/>
          <w:sz w:val="44"/>
          <w:szCs w:val="44"/>
          <w:lang w:bidi="ar"/>
        </w:rPr>
      </w:pPr>
      <w:r>
        <w:rPr>
          <w:rFonts w:hint="eastAsia" w:ascii="宋体" w:hAnsi="宋体" w:eastAsia="宋体" w:cs="宋体"/>
          <w:kern w:val="0"/>
          <w:sz w:val="44"/>
          <w:szCs w:val="44"/>
          <w:lang w:bidi="ar"/>
        </w:rPr>
        <w:t>信息系统等级保护</w:t>
      </w:r>
      <w:r>
        <w:rPr>
          <w:rFonts w:hint="eastAsia" w:ascii="宋体" w:hAnsi="宋体" w:eastAsia="宋体" w:cs="宋体"/>
          <w:kern w:val="0"/>
          <w:sz w:val="44"/>
          <w:szCs w:val="44"/>
          <w:lang w:val="en-US" w:eastAsia="zh-CN" w:bidi="ar"/>
        </w:rPr>
        <w:t>升级整改</w:t>
      </w:r>
      <w:r>
        <w:rPr>
          <w:rFonts w:hint="eastAsia" w:ascii="宋体" w:hAnsi="宋体" w:eastAsia="宋体" w:cs="宋体"/>
          <w:kern w:val="0"/>
          <w:sz w:val="44"/>
          <w:szCs w:val="44"/>
          <w:lang w:bidi="ar"/>
        </w:rPr>
        <w:t>项目需求主要技术参数</w:t>
      </w: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总体要求：</w:t>
      </w:r>
    </w:p>
    <w:p>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（一）通信网络与区域边界边界防护</w:t>
      </w:r>
    </w:p>
    <w:p>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1.主干链路，核心交换机、防火墙双机双链路冗余。</w:t>
      </w:r>
      <w:bookmarkStart w:id="0" w:name="_GoBack"/>
      <w:bookmarkEnd w:id="0"/>
    </w:p>
    <w:p>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2.对用户接入采取网络接入限制，做好准入控制；在关键网络节点处检测、防止或限制从外部或内部发起的网络攻击行为，并对恶意代码进行检测和清除，并维护恶意代码防护机制的升级和更新。</w:t>
      </w:r>
    </w:p>
    <w:p>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（二）安全审计</w:t>
      </w:r>
    </w:p>
    <w:p>
      <w:pPr>
        <w:spacing w:line="60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在网络边界、重要网络节点进行安全审计，审计覆盖到每个用户，对重要的用户行为和重要安全事件进行审计</w:t>
      </w:r>
      <w:r>
        <w:rPr>
          <w:rFonts w:hint="eastAsia" w:ascii="仿宋_GB2312" w:hAnsi="仿宋_GB2312" w:eastAsia="仿宋_GB2312" w:cs="仿宋_GB2312"/>
          <w:sz w:val="32"/>
          <w:szCs w:val="32"/>
          <w:lang w:val="en-US" w:eastAsia="zh-CN"/>
        </w:rPr>
        <w:t>；应对网络系统中的网络设备运行状况、网络流量、用户行为等进行日志记录。</w:t>
      </w:r>
    </w:p>
    <w:p>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（三）安全管理中心</w:t>
      </w:r>
    </w:p>
    <w:p>
      <w:pPr>
        <w:spacing w:line="600" w:lineRule="exact"/>
        <w:ind w:firstLine="640" w:firstLineChars="200"/>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对系统管理员进行身份鉴别，只允许其通过特定的命令或操作界面进行系统管理操作，并对这些操作进行审计</w:t>
      </w:r>
      <w:r>
        <w:rPr>
          <w:rFonts w:hint="eastAsia" w:ascii="仿宋_GB2312" w:hAnsi="仿宋_GB2312" w:eastAsia="仿宋_GB2312" w:cs="仿宋_GB2312"/>
          <w:sz w:val="32"/>
          <w:szCs w:val="32"/>
          <w:lang w:val="en-US" w:eastAsia="zh-CN"/>
        </w:rPr>
        <w:t>；对网络链路、安全设备、网络设备和服务器等的运行状况进行集中监测。</w:t>
      </w:r>
    </w:p>
    <w:p>
      <w:pPr>
        <w:spacing w:line="60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br w:type="page"/>
      </w:r>
    </w:p>
    <w:tbl>
      <w:tblPr>
        <w:tblStyle w:val="5"/>
        <w:tblW w:w="13988" w:type="dxa"/>
        <w:tblInd w:w="0" w:type="dxa"/>
        <w:shd w:val="clear" w:color="auto" w:fill="auto"/>
        <w:tblLayout w:type="fixed"/>
        <w:tblCellMar>
          <w:top w:w="0" w:type="dxa"/>
          <w:left w:w="0" w:type="dxa"/>
          <w:bottom w:w="0" w:type="dxa"/>
          <w:right w:w="0" w:type="dxa"/>
        </w:tblCellMar>
      </w:tblPr>
      <w:tblGrid>
        <w:gridCol w:w="431"/>
        <w:gridCol w:w="1032"/>
        <w:gridCol w:w="990"/>
        <w:gridCol w:w="828"/>
        <w:gridCol w:w="990"/>
        <w:gridCol w:w="4010"/>
        <w:gridCol w:w="3041"/>
        <w:gridCol w:w="1004"/>
        <w:gridCol w:w="658"/>
        <w:gridCol w:w="1004"/>
      </w:tblGrid>
      <w:tr>
        <w:tblPrEx>
          <w:tblLayout w:type="fixed"/>
          <w:tblCellMar>
            <w:top w:w="0" w:type="dxa"/>
            <w:left w:w="0" w:type="dxa"/>
            <w:bottom w:w="0" w:type="dxa"/>
            <w:right w:w="0" w:type="dxa"/>
          </w:tblCellMar>
        </w:tblPrEx>
        <w:trPr>
          <w:trHeight w:val="1620" w:hRule="atLeast"/>
        </w:trPr>
        <w:tc>
          <w:tcPr>
            <w:tcW w:w="13988"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b w:val="0"/>
                <w:bCs/>
                <w:i w:val="0"/>
                <w:color w:val="auto"/>
                <w:sz w:val="56"/>
                <w:szCs w:val="56"/>
                <w:u w:val="none"/>
                <w:lang w:val="en-US"/>
              </w:rPr>
            </w:pPr>
            <w:r>
              <w:rPr>
                <w:rFonts w:hint="eastAsia" w:ascii="宋体" w:hAnsi="宋体" w:eastAsia="宋体" w:cs="宋体"/>
                <w:kern w:val="0"/>
                <w:sz w:val="44"/>
                <w:szCs w:val="44"/>
                <w:lang w:val="en-US" w:eastAsia="zh-CN" w:bidi="ar"/>
              </w:rPr>
              <w:t>等级保护2.0+（二级）升级整改需求清单</w:t>
            </w:r>
          </w:p>
        </w:tc>
      </w:tr>
      <w:tr>
        <w:tblPrEx>
          <w:shd w:val="clear" w:color="auto" w:fill="auto"/>
          <w:tblLayout w:type="fixed"/>
          <w:tblCellMar>
            <w:top w:w="0" w:type="dxa"/>
            <w:left w:w="0" w:type="dxa"/>
            <w:bottom w:w="0" w:type="dxa"/>
            <w:right w:w="0" w:type="dxa"/>
          </w:tblCellMar>
        </w:tblPrEx>
        <w:trPr>
          <w:trHeight w:val="441" w:hRule="atLeast"/>
        </w:trPr>
        <w:tc>
          <w:tcPr>
            <w:tcW w:w="1398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一、等级保护测评服务</w:t>
            </w:r>
          </w:p>
        </w:tc>
      </w:tr>
      <w:tr>
        <w:tblPrEx>
          <w:shd w:val="clear" w:color="auto" w:fill="auto"/>
          <w:tblLayout w:type="fixed"/>
          <w:tblCellMar>
            <w:top w:w="0" w:type="dxa"/>
            <w:left w:w="0" w:type="dxa"/>
            <w:bottom w:w="0" w:type="dxa"/>
            <w:right w:w="0" w:type="dxa"/>
          </w:tblCellMar>
        </w:tblPrEx>
        <w:trPr>
          <w:trHeight w:val="441"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序号</w:t>
            </w:r>
          </w:p>
        </w:tc>
        <w:tc>
          <w:tcPr>
            <w:tcW w:w="1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服务名称</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系统名称</w:t>
            </w:r>
          </w:p>
        </w:tc>
        <w:tc>
          <w:tcPr>
            <w:tcW w:w="18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系统等级</w:t>
            </w:r>
          </w:p>
        </w:tc>
        <w:tc>
          <w:tcPr>
            <w:tcW w:w="70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服务内容</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单位</w:t>
            </w:r>
          </w:p>
        </w:tc>
        <w:tc>
          <w:tcPr>
            <w:tcW w:w="6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数量</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备注</w:t>
            </w:r>
          </w:p>
        </w:tc>
      </w:tr>
      <w:tr>
        <w:tblPrEx>
          <w:shd w:val="clear" w:color="auto" w:fill="auto"/>
          <w:tblLayout w:type="fixed"/>
          <w:tblCellMar>
            <w:top w:w="0" w:type="dxa"/>
            <w:left w:w="0" w:type="dxa"/>
            <w:bottom w:w="0" w:type="dxa"/>
            <w:right w:w="0" w:type="dxa"/>
          </w:tblCellMar>
        </w:tblPrEx>
        <w:trPr>
          <w:trHeight w:val="2001"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1</w:t>
            </w:r>
          </w:p>
        </w:tc>
        <w:tc>
          <w:tcPr>
            <w:tcW w:w="1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等级保护测评服务</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HIS、LIS、PACS系统、官网</w:t>
            </w:r>
          </w:p>
        </w:tc>
        <w:tc>
          <w:tcPr>
            <w:tcW w:w="18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2</w:t>
            </w:r>
          </w:p>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p>
        </w:tc>
        <w:tc>
          <w:tcPr>
            <w:tcW w:w="70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1、依据等级保护2.0的二级测评标准，开展信息安全评估工作，通过访谈、检查、测试等手段了解系统的安全现状，依照相关技术标准对此系统进行逐项检查，完成信息安全测评工作；</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2、整改结束后，完成等保验收测评并提交符合国家信息安全等级保护主管部门要求的验收测评报告。</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系统</w:t>
            </w:r>
          </w:p>
        </w:tc>
        <w:tc>
          <w:tcPr>
            <w:tcW w:w="6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4</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测评服务</w:t>
            </w:r>
          </w:p>
        </w:tc>
      </w:tr>
      <w:tr>
        <w:tblPrEx>
          <w:shd w:val="clear" w:color="auto" w:fill="auto"/>
          <w:tblLayout w:type="fixed"/>
          <w:tblCellMar>
            <w:top w:w="0" w:type="dxa"/>
            <w:left w:w="0" w:type="dxa"/>
            <w:bottom w:w="0" w:type="dxa"/>
            <w:right w:w="0" w:type="dxa"/>
          </w:tblCellMar>
        </w:tblPrEx>
        <w:trPr>
          <w:trHeight w:val="441" w:hRule="atLeast"/>
        </w:trPr>
        <w:tc>
          <w:tcPr>
            <w:tcW w:w="1398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二、安全设备清单</w:t>
            </w:r>
          </w:p>
        </w:tc>
      </w:tr>
      <w:tr>
        <w:tblPrEx>
          <w:shd w:val="clear" w:color="auto" w:fill="auto"/>
          <w:tblLayout w:type="fixed"/>
          <w:tblCellMar>
            <w:top w:w="0" w:type="dxa"/>
            <w:left w:w="0" w:type="dxa"/>
            <w:bottom w:w="0" w:type="dxa"/>
            <w:right w:w="0" w:type="dxa"/>
          </w:tblCellMar>
        </w:tblPrEx>
        <w:trPr>
          <w:trHeight w:val="441"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序号</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产品名称</w:t>
            </w:r>
          </w:p>
        </w:tc>
        <w:tc>
          <w:tcPr>
            <w:tcW w:w="50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描述</w:t>
            </w:r>
          </w:p>
        </w:tc>
        <w:tc>
          <w:tcPr>
            <w:tcW w:w="304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等保要求及目的</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单位</w:t>
            </w:r>
          </w:p>
        </w:tc>
        <w:tc>
          <w:tcPr>
            <w:tcW w:w="6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数量</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备注</w:t>
            </w:r>
          </w:p>
        </w:tc>
      </w:tr>
      <w:tr>
        <w:tblPrEx>
          <w:shd w:val="clear" w:color="auto" w:fill="auto"/>
          <w:tblLayout w:type="fixed"/>
          <w:tblCellMar>
            <w:top w:w="0" w:type="dxa"/>
            <w:left w:w="0" w:type="dxa"/>
            <w:bottom w:w="0" w:type="dxa"/>
            <w:right w:w="0" w:type="dxa"/>
          </w:tblCellMar>
        </w:tblPrEx>
        <w:trPr>
          <w:trHeight w:val="1599" w:hRule="atLeast"/>
        </w:trPr>
        <w:tc>
          <w:tcPr>
            <w:tcW w:w="431" w:type="dxa"/>
            <w:vMerge w:val="restar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2"/>
                <w:szCs w:val="22"/>
                <w:u w:val="none"/>
              </w:rPr>
            </w:pPr>
            <w:r>
              <w:rPr>
                <w:rFonts w:hint="eastAsia" w:asciiTheme="minorEastAsia" w:hAnsiTheme="minorEastAsia" w:eastAsiaTheme="minorEastAsia" w:cstheme="minorEastAsia"/>
                <w:b w:val="0"/>
                <w:bCs/>
                <w:i w:val="0"/>
                <w:color w:val="auto"/>
                <w:kern w:val="0"/>
                <w:sz w:val="22"/>
                <w:szCs w:val="22"/>
                <w:u w:val="none"/>
                <w:lang w:val="en-US" w:eastAsia="zh-CN" w:bidi="ar"/>
              </w:rPr>
              <w:t>1</w:t>
            </w:r>
          </w:p>
        </w:tc>
        <w:tc>
          <w:tcPr>
            <w:tcW w:w="2850" w:type="dxa"/>
            <w:gridSpan w:val="3"/>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第二代防火墙</w:t>
            </w:r>
          </w:p>
        </w:tc>
        <w:tc>
          <w:tcPr>
            <w:tcW w:w="500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硬件平台：1U机架式，12个千兆电接口，12个千兆光接口，冗余电源，网络吞吐率8Gbps，并发连接数：200万，含防病毒、防攻击、上网行为管理、Web安全防护等增强特性；包含三年维保和三年IPS、AV、URL、WAF特征库。</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软件版本：第二代防火墙V2.0</w:t>
            </w:r>
          </w:p>
        </w:tc>
        <w:tc>
          <w:tcPr>
            <w:tcW w:w="3041"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访问控制（G2）</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a) 应在网络边界部署访问控制设备，启用访问控制功能；</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b) 应能根据会话状态信息为数据流提供明确的允许/拒绝访问的能力，控制粒度为网段级。</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c) 应按用户和系统之间的允许访问规则，决定允许或拒绝用户对受控系统进行资源访问，控制粒  度为单个用户</w:t>
            </w:r>
          </w:p>
        </w:tc>
        <w:tc>
          <w:tcPr>
            <w:tcW w:w="10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台</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2</w:t>
            </w:r>
          </w:p>
        </w:tc>
        <w:tc>
          <w:tcPr>
            <w:tcW w:w="10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满足等级保护二级标注对于设备要求</w:t>
            </w:r>
          </w:p>
        </w:tc>
      </w:tr>
      <w:tr>
        <w:tblPrEx>
          <w:shd w:val="clear" w:color="auto" w:fill="auto"/>
          <w:tblLayout w:type="fixed"/>
          <w:tblCellMar>
            <w:top w:w="0" w:type="dxa"/>
            <w:left w:w="0" w:type="dxa"/>
            <w:bottom w:w="0" w:type="dxa"/>
            <w:right w:w="0" w:type="dxa"/>
          </w:tblCellMar>
        </w:tblPrEx>
        <w:trPr>
          <w:trHeight w:val="1599" w:hRule="atLeast"/>
        </w:trPr>
        <w:tc>
          <w:tcPr>
            <w:tcW w:w="431" w:type="dxa"/>
            <w:vMerge w:val="continue"/>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b w:val="0"/>
                <w:bCs/>
                <w:i w:val="0"/>
                <w:color w:val="auto"/>
                <w:sz w:val="22"/>
                <w:szCs w:val="22"/>
                <w:u w:val="none"/>
              </w:rPr>
            </w:pPr>
          </w:p>
        </w:tc>
        <w:tc>
          <w:tcPr>
            <w:tcW w:w="2850"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b w:val="0"/>
                <w:bCs/>
                <w:i w:val="0"/>
                <w:color w:val="auto"/>
                <w:sz w:val="24"/>
                <w:szCs w:val="24"/>
                <w:u w:val="none"/>
              </w:rPr>
            </w:pPr>
          </w:p>
        </w:tc>
        <w:tc>
          <w:tcPr>
            <w:tcW w:w="500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软件版本：第二代防火墙V2.0</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第二代防火墙威胁情报服务-36个月升级授权</w:t>
            </w:r>
          </w:p>
        </w:tc>
        <w:tc>
          <w:tcPr>
            <w:tcW w:w="3041"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Theme="minorEastAsia" w:hAnsiTheme="minorEastAsia" w:eastAsiaTheme="minorEastAsia" w:cstheme="minorEastAsia"/>
                <w:b w:val="0"/>
                <w:bCs/>
                <w:i w:val="0"/>
                <w:color w:val="auto"/>
                <w:sz w:val="24"/>
                <w:szCs w:val="24"/>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个</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2</w:t>
            </w:r>
          </w:p>
        </w:tc>
        <w:tc>
          <w:tcPr>
            <w:tcW w:w="10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满足等级保护二级标注对于设备要求</w:t>
            </w:r>
          </w:p>
        </w:tc>
      </w:tr>
      <w:tr>
        <w:tblPrEx>
          <w:shd w:val="clear" w:color="auto" w:fill="auto"/>
          <w:tblLayout w:type="fixed"/>
          <w:tblCellMar>
            <w:top w:w="0" w:type="dxa"/>
            <w:left w:w="0" w:type="dxa"/>
            <w:bottom w:w="0" w:type="dxa"/>
            <w:right w:w="0" w:type="dxa"/>
          </w:tblCellMar>
        </w:tblPrEx>
        <w:trPr>
          <w:trHeight w:val="1599" w:hRule="atLeast"/>
        </w:trPr>
        <w:tc>
          <w:tcPr>
            <w:tcW w:w="43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2"/>
                <w:szCs w:val="22"/>
                <w:u w:val="none"/>
              </w:rPr>
            </w:pPr>
            <w:r>
              <w:rPr>
                <w:rFonts w:hint="eastAsia" w:asciiTheme="minorEastAsia" w:hAnsiTheme="minorEastAsia" w:eastAsiaTheme="minorEastAsia" w:cstheme="minorEastAsia"/>
                <w:b w:val="0"/>
                <w:bCs/>
                <w:i w:val="0"/>
                <w:color w:val="auto"/>
                <w:kern w:val="0"/>
                <w:sz w:val="22"/>
                <w:szCs w:val="22"/>
                <w:u w:val="none"/>
                <w:lang w:val="en-US" w:eastAsia="zh-CN" w:bidi="ar"/>
              </w:rPr>
              <w:t>2</w:t>
            </w:r>
          </w:p>
        </w:tc>
        <w:tc>
          <w:tcPr>
            <w:tcW w:w="2850"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日志审计与分析系统</w:t>
            </w:r>
          </w:p>
        </w:tc>
        <w:tc>
          <w:tcPr>
            <w:tcW w:w="500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硬件平台：2U机架式，6个千兆电口，2个万兆光口，2*USB，1个console，2T硬盘，单电源，系统默认30点授权，日志处理能力10000EPS。 软件版本：日志审计与分析系统V1.0</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软件版本：日志审计与分析系统V1.0</w:t>
            </w:r>
          </w:p>
        </w:tc>
        <w:tc>
          <w:tcPr>
            <w:tcW w:w="3041"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安全审计（G2）</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a) 应对网络系统中的网络设备运行状况、网络流量、用户行为等进行日志记录；</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安全审计（G2）</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a) 审计范围应覆盖到服务器上的每个操作系统用户和数据库用户；</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d) 应保护审计记录，避免受到未预期的删除、修改或覆盖等</w:t>
            </w:r>
          </w:p>
        </w:tc>
        <w:tc>
          <w:tcPr>
            <w:tcW w:w="10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台</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1</w:t>
            </w:r>
          </w:p>
        </w:tc>
        <w:tc>
          <w:tcPr>
            <w:tcW w:w="10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满足等级保护二级标注对于设备要求</w:t>
            </w:r>
          </w:p>
        </w:tc>
      </w:tr>
      <w:tr>
        <w:tblPrEx>
          <w:shd w:val="clear" w:color="auto" w:fill="auto"/>
          <w:tblLayout w:type="fixed"/>
          <w:tblCellMar>
            <w:top w:w="0" w:type="dxa"/>
            <w:left w:w="0" w:type="dxa"/>
            <w:bottom w:w="0" w:type="dxa"/>
            <w:right w:w="0" w:type="dxa"/>
          </w:tblCellMar>
        </w:tblPrEx>
        <w:trPr>
          <w:trHeight w:val="1599" w:hRule="atLeast"/>
        </w:trPr>
        <w:tc>
          <w:tcPr>
            <w:tcW w:w="43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b w:val="0"/>
                <w:bCs/>
                <w:i w:val="0"/>
                <w:color w:val="auto"/>
                <w:sz w:val="22"/>
                <w:szCs w:val="22"/>
                <w:u w:val="none"/>
              </w:rPr>
            </w:pPr>
          </w:p>
        </w:tc>
        <w:tc>
          <w:tcPr>
            <w:tcW w:w="2850"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b w:val="0"/>
                <w:bCs/>
                <w:i w:val="0"/>
                <w:color w:val="auto"/>
                <w:sz w:val="24"/>
                <w:szCs w:val="24"/>
                <w:u w:val="none"/>
              </w:rPr>
            </w:pPr>
          </w:p>
        </w:tc>
        <w:tc>
          <w:tcPr>
            <w:tcW w:w="500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软件版本：日志审计与分析系统V1.0</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日志审计与分析系统10个点数据源管理授权（选配，系统默认30点授权）</w:t>
            </w:r>
          </w:p>
        </w:tc>
        <w:tc>
          <w:tcPr>
            <w:tcW w:w="3041"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Theme="minorEastAsia" w:hAnsiTheme="minorEastAsia" w:eastAsiaTheme="minorEastAsia" w:cstheme="minorEastAsia"/>
                <w:b w:val="0"/>
                <w:bCs/>
                <w:i w:val="0"/>
                <w:color w:val="auto"/>
                <w:sz w:val="24"/>
                <w:szCs w:val="24"/>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个</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3</w:t>
            </w:r>
          </w:p>
        </w:tc>
        <w:tc>
          <w:tcPr>
            <w:tcW w:w="10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满足等级保护二级标注对于设备要求</w:t>
            </w:r>
          </w:p>
        </w:tc>
      </w:tr>
      <w:tr>
        <w:tblPrEx>
          <w:shd w:val="clear" w:color="auto" w:fill="auto"/>
          <w:tblLayout w:type="fixed"/>
          <w:tblCellMar>
            <w:top w:w="0" w:type="dxa"/>
            <w:left w:w="0" w:type="dxa"/>
            <w:bottom w:w="0" w:type="dxa"/>
            <w:right w:w="0" w:type="dxa"/>
          </w:tblCellMar>
        </w:tblPrEx>
        <w:trPr>
          <w:trHeight w:val="252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2"/>
                <w:szCs w:val="22"/>
                <w:u w:val="none"/>
              </w:rPr>
            </w:pPr>
            <w:r>
              <w:rPr>
                <w:rFonts w:hint="eastAsia" w:asciiTheme="minorEastAsia" w:hAnsiTheme="minorEastAsia" w:eastAsiaTheme="minorEastAsia" w:cstheme="minorEastAsia"/>
                <w:b w:val="0"/>
                <w:bCs/>
                <w:i w:val="0"/>
                <w:color w:val="auto"/>
                <w:kern w:val="0"/>
                <w:sz w:val="22"/>
                <w:szCs w:val="22"/>
                <w:u w:val="none"/>
                <w:lang w:val="en-US" w:eastAsia="zh-CN" w:bidi="ar"/>
              </w:rPr>
              <w:t>3</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安全运维管理系统</w:t>
            </w:r>
          </w:p>
        </w:tc>
        <w:tc>
          <w:tcPr>
            <w:tcW w:w="500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硬件平台：2U机架式，6个千兆电口，2个千兆光口，2*USB，1个console，1T硬盘，单电源，默认50点授权. 软件版本：安全运维管理系统V2.0</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软件版本：安全运维管理系统V2.0</w:t>
            </w:r>
          </w:p>
        </w:tc>
        <w:tc>
          <w:tcPr>
            <w:tcW w:w="304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资源控制（A2）</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c) 应对重要服务器进行监视，包括监视服务器的CPU、硬盘、内存、网络等资源的使用情况；</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d) 应限制单个用户对系统资源的最大或最小使用限度；</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e) 应能够对系统的服务水平降低到预先规定的最小值进行检测和报警。</w:t>
            </w:r>
          </w:p>
        </w:tc>
        <w:tc>
          <w:tcPr>
            <w:tcW w:w="10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台</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1</w:t>
            </w:r>
          </w:p>
        </w:tc>
        <w:tc>
          <w:tcPr>
            <w:tcW w:w="10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满足等级保护二级标注对于设备要求</w:t>
            </w:r>
          </w:p>
        </w:tc>
      </w:tr>
      <w:tr>
        <w:tblPrEx>
          <w:shd w:val="clear" w:color="auto" w:fill="auto"/>
          <w:tblLayout w:type="fixed"/>
          <w:tblCellMar>
            <w:top w:w="0" w:type="dxa"/>
            <w:left w:w="0" w:type="dxa"/>
            <w:bottom w:w="0" w:type="dxa"/>
            <w:right w:w="0" w:type="dxa"/>
          </w:tblCellMar>
        </w:tblPrEx>
        <w:trPr>
          <w:trHeight w:val="288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2"/>
                <w:szCs w:val="22"/>
                <w:u w:val="none"/>
              </w:rPr>
            </w:pPr>
            <w:r>
              <w:rPr>
                <w:rFonts w:hint="eastAsia" w:asciiTheme="minorEastAsia" w:hAnsiTheme="minorEastAsia" w:eastAsiaTheme="minorEastAsia" w:cstheme="minorEastAsia"/>
                <w:b w:val="0"/>
                <w:bCs/>
                <w:i w:val="0"/>
                <w:color w:val="auto"/>
                <w:kern w:val="0"/>
                <w:sz w:val="22"/>
                <w:szCs w:val="22"/>
                <w:u w:val="none"/>
                <w:lang w:val="en-US" w:eastAsia="zh-CN" w:bidi="ar"/>
              </w:rPr>
              <w:t>4</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WEB应用防火墙</w:t>
            </w:r>
          </w:p>
        </w:tc>
        <w:tc>
          <w:tcPr>
            <w:tcW w:w="500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硬件平台：1U上架式机箱、板载6千兆电口(不可扩展)、2光口、8GB内存、1T硬盘、1个CONSOLE口，2个USB口、交流单电源；HTTP吞吐：1Gbps、HTTP新建（CPS）5000/s、HTTP新建事务能力（TPS）：1.2万/s、HTTP最大并发连接数：120万；最大防护150站点；出厂默认带1年特征库升级授权</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软件版本：WEB应用防火墙系统V2.0</w:t>
            </w:r>
          </w:p>
        </w:tc>
        <w:tc>
          <w:tcPr>
            <w:tcW w:w="304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访问控制（G2）</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a) 应在网络边界部署访问控制设备，启用访问控制功能；</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b) 应能根据会话状态信息为数据流提供明确的允许/拒绝访问的能力，控制粒度为网段级。</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c) 应按用户和系统之间的允许访问规则，决定允许或拒绝用户对受控系统进行资源访问，控制粒  度为单个用户</w:t>
            </w:r>
          </w:p>
        </w:tc>
        <w:tc>
          <w:tcPr>
            <w:tcW w:w="10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台</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1</w:t>
            </w:r>
          </w:p>
        </w:tc>
        <w:tc>
          <w:tcPr>
            <w:tcW w:w="10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满足等级保护二级标注对于设备要求</w:t>
            </w:r>
          </w:p>
        </w:tc>
      </w:tr>
      <w:tr>
        <w:tblPrEx>
          <w:shd w:val="clear" w:color="auto" w:fill="auto"/>
          <w:tblLayout w:type="fixed"/>
          <w:tblCellMar>
            <w:top w:w="0" w:type="dxa"/>
            <w:left w:w="0" w:type="dxa"/>
            <w:bottom w:w="0" w:type="dxa"/>
            <w:right w:w="0" w:type="dxa"/>
          </w:tblCellMar>
        </w:tblPrEx>
        <w:trPr>
          <w:trHeight w:val="4881"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2"/>
                <w:szCs w:val="22"/>
                <w:u w:val="none"/>
              </w:rPr>
            </w:pPr>
            <w:r>
              <w:rPr>
                <w:rFonts w:hint="eastAsia" w:asciiTheme="minorEastAsia" w:hAnsiTheme="minorEastAsia" w:eastAsiaTheme="minorEastAsia" w:cstheme="minorEastAsia"/>
                <w:b w:val="0"/>
                <w:bCs/>
                <w:i w:val="0"/>
                <w:color w:val="auto"/>
                <w:kern w:val="0"/>
                <w:sz w:val="22"/>
                <w:szCs w:val="22"/>
                <w:u w:val="none"/>
                <w:lang w:val="en-US" w:eastAsia="zh-CN" w:bidi="ar"/>
              </w:rPr>
              <w:t>5</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核心交换机</w:t>
            </w:r>
          </w:p>
        </w:tc>
        <w:tc>
          <w:tcPr>
            <w:tcW w:w="500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简要参数：</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1.主控冗余，可以提供更好的整机可靠性</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2.为保证网络核心层虚拟化的性能，要求堆叠系统跨框双向转发时延≤1.6us，针对此功能须提供具备CMA/CNAS章的第三方测试报告</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3.为保证网络的数据通信安全性，要求所投设备支持MACsec加密技术，并针对此功能提供官网链接和截图</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4.支持融合AC功能，无需额外配置单独硬件，在交换机上实现对AP的接入控制和管理，有线无线用户的统一认证管理。</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5.支持内置智能图形化管理功能（SmartMC），对于下联设备具备统一管理的功能</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能够通过图形化界面对组内设备进行配置文件一键下发；对拓扑内的设备或设备组批量进行版本升级</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6.与原交换机HUAWEI S7703适配双机冗余</w:t>
            </w:r>
          </w:p>
        </w:tc>
        <w:tc>
          <w:tcPr>
            <w:tcW w:w="304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备份和恢复（A2）</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a) 应能够对重要设备进行双机热备；</w:t>
            </w:r>
          </w:p>
        </w:tc>
        <w:tc>
          <w:tcPr>
            <w:tcW w:w="10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台</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1</w:t>
            </w:r>
          </w:p>
        </w:tc>
        <w:tc>
          <w:tcPr>
            <w:tcW w:w="10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满足等级保护二级标注对于设备要求</w:t>
            </w:r>
          </w:p>
        </w:tc>
      </w:tr>
      <w:tr>
        <w:tblPrEx>
          <w:shd w:val="clear" w:color="auto" w:fill="auto"/>
          <w:tblLayout w:type="fixed"/>
          <w:tblCellMar>
            <w:top w:w="0" w:type="dxa"/>
            <w:left w:w="0" w:type="dxa"/>
            <w:bottom w:w="0" w:type="dxa"/>
            <w:right w:w="0" w:type="dxa"/>
          </w:tblCellMar>
        </w:tblPrEx>
        <w:trPr>
          <w:trHeight w:val="441" w:hRule="atLeast"/>
        </w:trPr>
        <w:tc>
          <w:tcPr>
            <w:tcW w:w="1398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三、安全服务</w:t>
            </w:r>
          </w:p>
        </w:tc>
      </w:tr>
      <w:tr>
        <w:tblPrEx>
          <w:shd w:val="clear" w:color="auto" w:fill="auto"/>
          <w:tblLayout w:type="fixed"/>
          <w:tblCellMar>
            <w:top w:w="0" w:type="dxa"/>
            <w:left w:w="0" w:type="dxa"/>
            <w:bottom w:w="0" w:type="dxa"/>
            <w:right w:w="0" w:type="dxa"/>
          </w:tblCellMar>
        </w:tblPrEx>
        <w:trPr>
          <w:trHeight w:val="441"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序号</w:t>
            </w:r>
          </w:p>
        </w:tc>
        <w:tc>
          <w:tcPr>
            <w:tcW w:w="1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服务名称</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分类名称</w:t>
            </w:r>
          </w:p>
        </w:tc>
        <w:tc>
          <w:tcPr>
            <w:tcW w:w="58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服务内容</w:t>
            </w:r>
          </w:p>
        </w:tc>
        <w:tc>
          <w:tcPr>
            <w:tcW w:w="304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b w:val="0"/>
                <w:bCs/>
                <w:i w:val="0"/>
                <w:color w:val="auto"/>
                <w:sz w:val="20"/>
                <w:szCs w:val="20"/>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单位</w:t>
            </w:r>
          </w:p>
        </w:tc>
        <w:tc>
          <w:tcPr>
            <w:tcW w:w="6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数量</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0"/>
                <w:szCs w:val="20"/>
                <w:u w:val="none"/>
              </w:rPr>
            </w:pPr>
            <w:r>
              <w:rPr>
                <w:rFonts w:hint="eastAsia" w:asciiTheme="minorEastAsia" w:hAnsiTheme="minorEastAsia" w:eastAsiaTheme="minorEastAsia" w:cstheme="minorEastAsia"/>
                <w:b w:val="0"/>
                <w:bCs/>
                <w:i w:val="0"/>
                <w:color w:val="auto"/>
                <w:kern w:val="0"/>
                <w:sz w:val="20"/>
                <w:szCs w:val="20"/>
                <w:u w:val="none"/>
                <w:lang w:val="en-US" w:eastAsia="zh-CN" w:bidi="ar"/>
              </w:rPr>
              <w:t>特殊说明</w:t>
            </w:r>
          </w:p>
        </w:tc>
      </w:tr>
      <w:tr>
        <w:tblPrEx>
          <w:shd w:val="clear" w:color="auto" w:fill="auto"/>
          <w:tblLayout w:type="fixed"/>
          <w:tblCellMar>
            <w:top w:w="0" w:type="dxa"/>
            <w:left w:w="0" w:type="dxa"/>
            <w:bottom w:w="0" w:type="dxa"/>
            <w:right w:w="0" w:type="dxa"/>
          </w:tblCellMar>
        </w:tblPrEx>
        <w:trPr>
          <w:trHeight w:val="2799"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1</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安全服务</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持续安全运营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安全加固服务</w:t>
            </w:r>
          </w:p>
        </w:tc>
        <w:tc>
          <w:tcPr>
            <w:tcW w:w="88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由专业技术人员协助客户对操作系统和应用系统进行修补、加固和优化，有助于从资产暴露面上阻止勒索病毒的入侵。安全加固服务，包括针对各种设备、操作系统、应用的打补丁、停止不必要的服务、升级或更换程序、除去后门程序、修改配置及权限以及针对复杂问题的专门解决方案等服务。满足等级保护软整改要求。1、安全物理机房安全配置加固服务：全配置加固服务，完成符合标准要求；2、安全通讯网络安全配置加固服务：全配置加固服务，完成符合标准要求；3、安全区域边界安全配置加固服务：全配置加固服务，完成符合标准要求；4、安全计算环境安全配置加固服务：全配置加固服务，完成符合标准要求；5、安全管理中心加固整改：全配置加固服务，完成符合标准要求；</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次</w:t>
            </w:r>
          </w:p>
        </w:tc>
        <w:tc>
          <w:tcPr>
            <w:tcW w:w="6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4/系统</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满足等级保护二级标注对于安全服务要求</w:t>
            </w:r>
          </w:p>
        </w:tc>
      </w:tr>
      <w:tr>
        <w:tblPrEx>
          <w:shd w:val="clear" w:color="auto" w:fill="auto"/>
          <w:tblLayout w:type="fixed"/>
          <w:tblCellMar>
            <w:top w:w="0" w:type="dxa"/>
            <w:left w:w="0" w:type="dxa"/>
            <w:bottom w:w="0" w:type="dxa"/>
            <w:right w:w="0" w:type="dxa"/>
          </w:tblCellMar>
        </w:tblPrEx>
        <w:trPr>
          <w:trHeight w:val="3141"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2</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b w:val="0"/>
                <w:bCs/>
                <w:i w:val="0"/>
                <w:color w:val="auto"/>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安全体系建设</w:t>
            </w:r>
          </w:p>
        </w:tc>
        <w:tc>
          <w:tcPr>
            <w:tcW w:w="88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参照国标《信息安全技术 信息系统安全管理要求GB/T20269-2006》的内容，进行分公司的信息安全体系建设工作，包括制定信息安全体系、支持信息安全方案的咨询、日常信息安全的咨询和信息系统安全方案评审等工作内容，确保公司在信息安全管理上形成制度化、规范化、流程化的管理和运营。1、安全管理制度加固整改：安全管理制度建设，同时完成关键记录文件补充，完成符合标准要求；2、安全管理机构：安全管理机构建设，同时完成关键记录文件补充，完成符合标准要求；3、安全人员管理：安全人员管理建设，同时完成关键记录文件补充，完成符合标准要求；4、安全建设管理：安全建设管理，同时完成关键记录文件补充，完成符合标准要求；5、安全运维管理：安全运维管理建设，同时完成关键记录文件补充，完成符合标准要求。</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次</w:t>
            </w:r>
          </w:p>
        </w:tc>
        <w:tc>
          <w:tcPr>
            <w:tcW w:w="6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4/系统</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满足等级保护二级标注对于安全服务要求</w:t>
            </w:r>
          </w:p>
        </w:tc>
      </w:tr>
      <w:tr>
        <w:tblPrEx>
          <w:shd w:val="clear" w:color="auto" w:fill="auto"/>
          <w:tblLayout w:type="fixed"/>
          <w:tblCellMar>
            <w:top w:w="0" w:type="dxa"/>
            <w:left w:w="0" w:type="dxa"/>
            <w:bottom w:w="0" w:type="dxa"/>
            <w:right w:w="0" w:type="dxa"/>
          </w:tblCellMar>
        </w:tblPrEx>
        <w:trPr>
          <w:trHeight w:val="1461"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3</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b w:val="0"/>
                <w:bCs/>
                <w:i w:val="0"/>
                <w:color w:val="auto"/>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应急响应服务</w:t>
            </w:r>
          </w:p>
        </w:tc>
        <w:tc>
          <w:tcPr>
            <w:tcW w:w="88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当发生外部黑客入侵、数据泄露、木马病毒等突发安全事件时，提供包括事件检测与分析、风险抑制、问题处置、协助业务恢复的服务，能够协助用户快速止损，最大化降低安全事件带来的影响。</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次</w:t>
            </w:r>
          </w:p>
        </w:tc>
        <w:tc>
          <w:tcPr>
            <w:tcW w:w="6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不限/年</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满足等级保护二级标注对于安全服务要求</w:t>
            </w:r>
          </w:p>
        </w:tc>
      </w:tr>
      <w:tr>
        <w:tblPrEx>
          <w:shd w:val="clear" w:color="auto" w:fill="auto"/>
          <w:tblLayout w:type="fixed"/>
          <w:tblCellMar>
            <w:top w:w="0" w:type="dxa"/>
            <w:left w:w="0" w:type="dxa"/>
            <w:bottom w:w="0" w:type="dxa"/>
            <w:right w:w="0" w:type="dxa"/>
          </w:tblCellMar>
        </w:tblPrEx>
        <w:trPr>
          <w:trHeight w:val="3741"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4</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b w:val="0"/>
                <w:bCs/>
                <w:i w:val="0"/>
                <w:color w:val="auto"/>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网络安全规划咨询服务</w:t>
            </w:r>
          </w:p>
        </w:tc>
        <w:tc>
          <w:tcPr>
            <w:tcW w:w="88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通过及时跟进业界安全动态，实时提供最新出现的安全漏洞和安全升级通告，追踪和整理信息安全技术最新动态、产品和行业情况、安全厂商情况、安全标准与法规，及提供防病毒、安全设备、网络设备、操作系统、应用系统和数据库等相关安全技术问题的咨询服务。</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日常咨询服务具体服务内容如下：</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（1）以电话、传真或电子邮件以及现场等方式回答相关安全咨询，协助解决安全问题。</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（2）针对一体化风险安全评估、安全督察、等级保护测评等安全检查，为以上安全自查工作提供方法支持，根据自查结果提出整改建议。</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（3）对于影响需求方系统的信息安全漏洞，对需求方制定的应急处理方案及正式整改方案提出建议或意见。</w:t>
            </w:r>
            <w:r>
              <w:rPr>
                <w:rFonts w:hint="eastAsia" w:asciiTheme="minorEastAsia" w:hAnsiTheme="minorEastAsia" w:eastAsiaTheme="minorEastAsia" w:cstheme="minorEastAsia"/>
                <w:b w:val="0"/>
                <w:bCs/>
                <w:i w:val="0"/>
                <w:color w:val="auto"/>
                <w:kern w:val="0"/>
                <w:sz w:val="24"/>
                <w:szCs w:val="24"/>
                <w:u w:val="none"/>
                <w:lang w:val="en-US" w:eastAsia="zh-CN" w:bidi="ar"/>
              </w:rPr>
              <w:br w:type="textWrapping"/>
            </w:r>
            <w:r>
              <w:rPr>
                <w:rFonts w:hint="eastAsia" w:asciiTheme="minorEastAsia" w:hAnsiTheme="minorEastAsia" w:eastAsiaTheme="minorEastAsia" w:cstheme="minorEastAsia"/>
                <w:b w:val="0"/>
                <w:bCs/>
                <w:i w:val="0"/>
                <w:color w:val="auto"/>
                <w:kern w:val="0"/>
                <w:sz w:val="24"/>
                <w:szCs w:val="24"/>
                <w:u w:val="none"/>
                <w:lang w:val="en-US" w:eastAsia="zh-CN" w:bidi="ar"/>
              </w:rPr>
              <w:t>（4）收集、整理外部月度信息安全相关资料，并进行分析，提出防护建议；</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次</w:t>
            </w:r>
          </w:p>
        </w:tc>
        <w:tc>
          <w:tcPr>
            <w:tcW w:w="6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不限/年</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auto"/>
                <w:sz w:val="24"/>
                <w:szCs w:val="24"/>
                <w:u w:val="none"/>
              </w:rPr>
            </w:pPr>
            <w:r>
              <w:rPr>
                <w:rFonts w:hint="eastAsia" w:asciiTheme="minorEastAsia" w:hAnsiTheme="minorEastAsia" w:eastAsiaTheme="minorEastAsia" w:cstheme="minorEastAsia"/>
                <w:b w:val="0"/>
                <w:bCs/>
                <w:i w:val="0"/>
                <w:color w:val="auto"/>
                <w:kern w:val="0"/>
                <w:sz w:val="24"/>
                <w:szCs w:val="24"/>
                <w:u w:val="none"/>
                <w:lang w:val="en-US" w:eastAsia="zh-CN" w:bidi="ar"/>
              </w:rPr>
              <w:t>满足等级保护二级标注对于安全服务要求</w:t>
            </w:r>
          </w:p>
        </w:tc>
      </w:tr>
    </w:tbl>
    <w:p>
      <w:pPr>
        <w:rPr>
          <w:rFonts w:hint="eastAsia" w:asciiTheme="minorEastAsia" w:hAnsiTheme="minorEastAsia" w:eastAsiaTheme="minorEastAsia" w:cstheme="minorEastAsia"/>
        </w:rPr>
      </w:pPr>
    </w:p>
    <w:sectPr>
      <w:head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eastAsia="宋体"/>
        <w:lang w:val="en-US" w:eastAsia="zh-CN"/>
      </w:rPr>
    </w:pPr>
    <w:r>
      <w:rPr>
        <w:rFonts w:hint="eastAsia"/>
        <w:lang w:val="en-US" w:eastAsia="zh-CN"/>
      </w:rPr>
      <w:t>附件：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645348"/>
    <w:rsid w:val="06645348"/>
    <w:rsid w:val="25CC3422"/>
    <w:rsid w:val="29AF6C8B"/>
    <w:rsid w:val="2DC549CA"/>
    <w:rsid w:val="52167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2023-11-22T01:10:00Z</dcterms:created>
  <dc:creator>Madman</dc:creator>
  <cp:lastModifiedBy>Madman</cp:lastModifiedBy>
  <cp:lastPrinted>2023-11-22T08:04:00Z</cp:lastPrinted>
  <dcterms:modified xsi:type="dcterms:W3CDTF">2023-11-22T08:47:40Z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